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59" w:rsidRDefault="003643BA">
      <w:r>
        <w:t xml:space="preserve">KABARAK UNIVERSITY </w:t>
      </w:r>
    </w:p>
    <w:p w:rsidR="003643BA" w:rsidRDefault="003643BA">
      <w:r>
        <w:t>SCHOOL OF SCIENCE, ENGINEERING AND TECHNOLOGY</w:t>
      </w:r>
    </w:p>
    <w:p w:rsidR="003643BA" w:rsidRDefault="003643BA">
      <w:r>
        <w:t>ENVIRONMENT AND ENERGY TECHNOLOGY CONFERENCE</w:t>
      </w:r>
    </w:p>
    <w:p w:rsidR="003643BA" w:rsidRDefault="003643BA">
      <w:r>
        <w:t>P.O PRIVATE BAG 20157, KABARAK</w:t>
      </w:r>
    </w:p>
    <w:p w:rsidR="003643BA" w:rsidRDefault="003643BA"/>
    <w:p w:rsidR="003643BA" w:rsidRPr="00506C95" w:rsidRDefault="003643BA">
      <w:pPr>
        <w:rPr>
          <w:i/>
        </w:rPr>
      </w:pPr>
      <w:proofErr w:type="gramStart"/>
      <w:r w:rsidRPr="00506C95">
        <w:rPr>
          <w:i/>
        </w:rPr>
        <w:t>The factors impeding Clean Development</w:t>
      </w:r>
      <w:r w:rsidR="008603E8" w:rsidRPr="00506C95">
        <w:rPr>
          <w:i/>
        </w:rPr>
        <w:t xml:space="preserve"> Mechanism (CDM) implementation</w:t>
      </w:r>
      <w:r w:rsidRPr="00506C95">
        <w:rPr>
          <w:i/>
        </w:rPr>
        <w:t xml:space="preserve"> and carbon emissions reductions and energy management in re</w:t>
      </w:r>
      <w:r w:rsidR="008603E8" w:rsidRPr="00506C95">
        <w:rPr>
          <w:i/>
        </w:rPr>
        <w:t>lation</w:t>
      </w:r>
      <w:r w:rsidRPr="00506C95">
        <w:rPr>
          <w:i/>
        </w:rPr>
        <w:t xml:space="preserve"> to </w:t>
      </w:r>
      <w:r w:rsidR="008603E8" w:rsidRPr="00506C95">
        <w:rPr>
          <w:i/>
        </w:rPr>
        <w:t>clim</w:t>
      </w:r>
      <w:r w:rsidR="00506C95">
        <w:rPr>
          <w:i/>
        </w:rPr>
        <w:t>ate change and sustainable development in Africa</w:t>
      </w:r>
      <w:r w:rsidR="008603E8" w:rsidRPr="00506C95">
        <w:rPr>
          <w:i/>
        </w:rPr>
        <w:t>.</w:t>
      </w:r>
      <w:proofErr w:type="gramEnd"/>
    </w:p>
    <w:p w:rsidR="008603E8" w:rsidRDefault="008603E8">
      <w:r>
        <w:t xml:space="preserve">A paper </w:t>
      </w:r>
      <w:r w:rsidR="00C60933">
        <w:t xml:space="preserve"> authored by and </w:t>
      </w:r>
      <w:r>
        <w:t>to be pre</w:t>
      </w:r>
      <w:r w:rsidR="00506C95">
        <w:t xml:space="preserve">sented by Professor Jackson </w:t>
      </w:r>
      <w:r w:rsidR="00C60933">
        <w:t xml:space="preserve"> </w:t>
      </w:r>
      <w:proofErr w:type="spellStart"/>
      <w:r w:rsidR="00C60933">
        <w:t>Kitetu</w:t>
      </w:r>
      <w:proofErr w:type="spellEnd"/>
      <w:r w:rsidR="00C60933">
        <w:t xml:space="preserve"> and Dr. Edna </w:t>
      </w:r>
      <w:proofErr w:type="spellStart"/>
      <w:r w:rsidR="00C60933">
        <w:t>Koskei</w:t>
      </w:r>
      <w:proofErr w:type="spellEnd"/>
      <w:r w:rsidR="00C60933">
        <w:t xml:space="preserve"> </w:t>
      </w:r>
      <w:r>
        <w:t>during the international Conference on Environ</w:t>
      </w:r>
      <w:r w:rsidR="00F512E8">
        <w:t xml:space="preserve">ment and Energy Technology </w:t>
      </w:r>
      <w:r>
        <w:t xml:space="preserve">held </w:t>
      </w:r>
      <w:r w:rsidR="00F512E8">
        <w:t xml:space="preserve">at </w:t>
      </w:r>
      <w:proofErr w:type="spellStart"/>
      <w:r w:rsidR="00F512E8">
        <w:t>Kabarak</w:t>
      </w:r>
      <w:proofErr w:type="spellEnd"/>
      <w:r w:rsidR="00F512E8">
        <w:t xml:space="preserve"> University in September, 2019.</w:t>
      </w:r>
    </w:p>
    <w:p w:rsidR="00F512E8" w:rsidRDefault="00F512E8"/>
    <w:p w:rsidR="00F512E8" w:rsidRPr="00E310AB" w:rsidRDefault="00F512E8">
      <w:pPr>
        <w:rPr>
          <w:b/>
        </w:rPr>
      </w:pPr>
      <w:r w:rsidRPr="00E310AB">
        <w:rPr>
          <w:b/>
        </w:rPr>
        <w:t xml:space="preserve">Abstract </w:t>
      </w:r>
    </w:p>
    <w:p w:rsidR="00F512E8" w:rsidRDefault="00BF443F" w:rsidP="00AD419B">
      <w:pPr>
        <w:jc w:val="both"/>
      </w:pPr>
      <w:r>
        <w:t>The paper focus</w:t>
      </w:r>
      <w:r w:rsidR="00036F44">
        <w:t xml:space="preserve">es </w:t>
      </w:r>
      <w:r w:rsidR="00AD419B">
        <w:t xml:space="preserve">on </w:t>
      </w:r>
      <w:r w:rsidR="00036F44">
        <w:t xml:space="preserve">experimentally researched information </w:t>
      </w:r>
      <w:r>
        <w:t>on factors that are an impediment to the implementation of c</w:t>
      </w:r>
      <w:r w:rsidR="008F12CB">
        <w:t>lean development mechanism</w:t>
      </w:r>
      <w:r>
        <w:t>,</w:t>
      </w:r>
      <w:r w:rsidR="00577477">
        <w:t xml:space="preserve"> </w:t>
      </w:r>
      <w:r>
        <w:t>the effects and solutions on carbon emissions reduction and energy management initiatives</w:t>
      </w:r>
      <w:r w:rsidR="00577477">
        <w:t xml:space="preserve"> for sustainable development </w:t>
      </w:r>
      <w:r>
        <w:t xml:space="preserve">in relation to climate change in Africa. </w:t>
      </w:r>
      <w:r w:rsidR="00B014A3">
        <w:t xml:space="preserve">The </w:t>
      </w:r>
      <w:r w:rsidR="000379C5">
        <w:t xml:space="preserve"> objectives are</w:t>
      </w:r>
      <w:r w:rsidR="00577477">
        <w:t xml:space="preserve"> to identify some countries in Africa where experimental studies have been done on factors which hinter implement</w:t>
      </w:r>
      <w:r w:rsidR="002731DE">
        <w:t>ation of CDM and the research</w:t>
      </w:r>
      <w:r w:rsidR="00404E8E">
        <w:t xml:space="preserve"> methods, results, </w:t>
      </w:r>
      <w:r w:rsidR="002731DE">
        <w:t xml:space="preserve"> findings obtained and application in providing solutions on the way forward for implementation of CDM in Africa.</w:t>
      </w:r>
      <w:r w:rsidR="000379C5">
        <w:t xml:space="preserve">, </w:t>
      </w:r>
      <w:r w:rsidR="002731DE">
        <w:t>to highlight the impact</w:t>
      </w:r>
      <w:r w:rsidR="00404E8E">
        <w:t>s</w:t>
      </w:r>
      <w:r w:rsidR="002731DE">
        <w:t xml:space="preserve"> of the failure</w:t>
      </w:r>
      <w:r w:rsidR="00404E8E">
        <w:t xml:space="preserve"> and or success</w:t>
      </w:r>
      <w:r w:rsidR="002731DE">
        <w:t xml:space="preserve"> to implement the clean development mechanism on </w:t>
      </w:r>
      <w:r w:rsidR="00404E8E">
        <w:t xml:space="preserve">carbon emissions reductions and energy management in relation to </w:t>
      </w:r>
      <w:r w:rsidR="002731DE">
        <w:t>climate change and sustainable development in Africa</w:t>
      </w:r>
      <w:r w:rsidR="000379C5">
        <w:t xml:space="preserve"> and to </w:t>
      </w:r>
      <w:r w:rsidR="00F35268">
        <w:t>suggest</w:t>
      </w:r>
      <w:r w:rsidR="00506C95">
        <w:t xml:space="preserve"> solutions</w:t>
      </w:r>
      <w:r w:rsidR="000379C5">
        <w:t xml:space="preserve"> that can be used </w:t>
      </w:r>
      <w:r w:rsidR="00F35268">
        <w:t xml:space="preserve">to accelerate the </w:t>
      </w:r>
      <w:r w:rsidR="0071384F">
        <w:t>implementation of CDM in Africa</w:t>
      </w:r>
      <w:r w:rsidR="002E02EC">
        <w:t xml:space="preserve">. </w:t>
      </w:r>
      <w:r w:rsidR="000379C5">
        <w:t>T</w:t>
      </w:r>
      <w:r w:rsidR="00DE6F40">
        <w:t>h</w:t>
      </w:r>
      <w:r w:rsidR="000379C5">
        <w:t>e met</w:t>
      </w:r>
      <w:r w:rsidR="00181D2A">
        <w:t>hods used to collect data in both</w:t>
      </w:r>
      <w:r w:rsidR="000379C5">
        <w:t xml:space="preserve"> </w:t>
      </w:r>
      <w:r w:rsidR="00181D2A">
        <w:t>Kenya and Burkina Faso studies were questionnaires</w:t>
      </w:r>
      <w:r w:rsidR="00AD419B">
        <w:t>, interviews and</w:t>
      </w:r>
      <w:r w:rsidR="00181D2A">
        <w:t xml:space="preserve"> workshops</w:t>
      </w:r>
      <w:r w:rsidR="00DE6F40">
        <w:t xml:space="preserve">, </w:t>
      </w:r>
      <w:r w:rsidR="000379C5">
        <w:t>whereas SPS</w:t>
      </w:r>
      <w:r w:rsidR="00181D2A">
        <w:t xml:space="preserve">S computer package method was used to analyze the data. </w:t>
      </w:r>
      <w:r w:rsidR="000379C5">
        <w:t>CDM is</w:t>
      </w:r>
      <w:r w:rsidR="0071384F">
        <w:t xml:space="preserve"> a</w:t>
      </w:r>
      <w:r w:rsidR="00036F44">
        <w:t xml:space="preserve"> tool provided by</w:t>
      </w:r>
      <w:r w:rsidR="0071384F">
        <w:t xml:space="preserve"> Kyoto Protocol </w:t>
      </w:r>
      <w:r w:rsidR="00A312FA">
        <w:t>in 1997 established by United Nations Framework conve</w:t>
      </w:r>
      <w:r w:rsidR="008F12CB">
        <w:t>ntion on Climate Change</w:t>
      </w:r>
      <w:r w:rsidR="00A312FA">
        <w:t xml:space="preserve">, </w:t>
      </w:r>
      <w:r w:rsidR="0071384F">
        <w:t>that ensure</w:t>
      </w:r>
      <w:r w:rsidR="000C5C08">
        <w:t>s</w:t>
      </w:r>
      <w:r w:rsidR="0071384F">
        <w:t xml:space="preserve"> </w:t>
      </w:r>
      <w:r w:rsidR="002E02EC">
        <w:t>all parties</w:t>
      </w:r>
      <w:r w:rsidR="00AD419B">
        <w:t xml:space="preserve"> (developed &amp; Developing</w:t>
      </w:r>
      <w:r w:rsidR="002E02EC">
        <w:t xml:space="preserve"> </w:t>
      </w:r>
      <w:r w:rsidR="00F968F1">
        <w:t>C</w:t>
      </w:r>
      <w:r w:rsidR="00AD419B">
        <w:t xml:space="preserve">ountries) </w:t>
      </w:r>
      <w:r w:rsidR="002E02EC">
        <w:t>of the Protocol benefit from the project activities designed to</w:t>
      </w:r>
      <w:r w:rsidR="00AD419B">
        <w:t xml:space="preserve"> reduction</w:t>
      </w:r>
      <w:r w:rsidR="002E02EC">
        <w:t xml:space="preserve"> of greenhouse gases in to the earth’s atmosp</w:t>
      </w:r>
      <w:r w:rsidR="00A312FA">
        <w:t xml:space="preserve">here. The findings of the </w:t>
      </w:r>
      <w:r w:rsidR="000C5C08">
        <w:t>studies done in</w:t>
      </w:r>
      <w:r w:rsidR="00AD419B">
        <w:t xml:space="preserve"> </w:t>
      </w:r>
      <w:r w:rsidR="000C5C08">
        <w:t>Kenya, and Burkina Fa</w:t>
      </w:r>
      <w:r w:rsidR="00AD419B">
        <w:t>so show</w:t>
      </w:r>
      <w:r w:rsidR="000C5C08">
        <w:t xml:space="preserve"> the following factors to be hindering implementation of CDM</w:t>
      </w:r>
      <w:r w:rsidR="00F968F1">
        <w:t>:</w:t>
      </w:r>
      <w:r w:rsidR="00DE6F40">
        <w:t>-</w:t>
      </w:r>
      <w:r w:rsidR="00AD419B">
        <w:t xml:space="preserve"> policy barri</w:t>
      </w:r>
      <w:r w:rsidR="00DE6F40">
        <w:t>e</w:t>
      </w:r>
      <w:r w:rsidR="00AD419B">
        <w:t>r</w:t>
      </w:r>
      <w:r w:rsidR="00DE6F40">
        <w:t xml:space="preserve">s, project financing </w:t>
      </w:r>
      <w:r w:rsidR="00B014A3">
        <w:t>gaps</w:t>
      </w:r>
      <w:r w:rsidR="00DE6F40">
        <w:t>, institutional barriers and gaps</w:t>
      </w:r>
      <w:r w:rsidR="00B014A3">
        <w:t>, lack of information and knowledge on CDM, government bureau</w:t>
      </w:r>
      <w:r w:rsidR="00565726">
        <w:t xml:space="preserve">cracy, </w:t>
      </w:r>
      <w:r w:rsidR="00013D0C">
        <w:t>corruption,</w:t>
      </w:r>
      <w:r w:rsidR="00B014A3">
        <w:t xml:space="preserve"> limited resources</w:t>
      </w:r>
      <w:r w:rsidR="00013D0C">
        <w:t xml:space="preserve"> and insecurity due to terrorism attacks</w:t>
      </w:r>
      <w:r w:rsidR="00B014A3">
        <w:t xml:space="preserve">. </w:t>
      </w:r>
      <w:r w:rsidR="00F968F1">
        <w:t>The solut</w:t>
      </w:r>
      <w:r w:rsidR="0015677C">
        <w:t>ions proposed for Burkina F</w:t>
      </w:r>
      <w:r w:rsidR="00F968F1">
        <w:t xml:space="preserve">aso </w:t>
      </w:r>
      <w:r w:rsidR="00D85B4A">
        <w:t>and Kenya are given</w:t>
      </w:r>
      <w:r w:rsidR="00987630">
        <w:t xml:space="preserve"> as-</w:t>
      </w:r>
      <w:r w:rsidR="00F968F1">
        <w:t xml:space="preserve"> </w:t>
      </w:r>
      <w:r w:rsidR="0015677C">
        <w:t>introduce efficie</w:t>
      </w:r>
      <w:r w:rsidR="00987630">
        <w:t xml:space="preserve">nt carbonization techniques, </w:t>
      </w:r>
      <w:r w:rsidR="0015677C">
        <w:t>enhanc</w:t>
      </w:r>
      <w:r w:rsidR="00987630">
        <w:t xml:space="preserve">e community participation, </w:t>
      </w:r>
      <w:r w:rsidR="0015677C">
        <w:t xml:space="preserve">create </w:t>
      </w:r>
      <w:proofErr w:type="gramStart"/>
      <w:r w:rsidR="0015677C">
        <w:t xml:space="preserve">a black and white </w:t>
      </w:r>
      <w:r w:rsidR="00987630">
        <w:t>lists</w:t>
      </w:r>
      <w:proofErr w:type="gramEnd"/>
      <w:r w:rsidR="00987630">
        <w:t xml:space="preserve"> </w:t>
      </w:r>
      <w:r w:rsidR="0015677C">
        <w:t>for approv</w:t>
      </w:r>
      <w:r w:rsidR="00987630">
        <w:t>ing CDM projects,</w:t>
      </w:r>
      <w:r w:rsidR="0015677C">
        <w:t xml:space="preserve"> promote in-country expert capacity building in CDM project</w:t>
      </w:r>
      <w:r w:rsidR="00987630">
        <w:t>s</w:t>
      </w:r>
      <w:r w:rsidR="00D85B4A">
        <w:t xml:space="preserve"> and provide tax incentives to CDM investors</w:t>
      </w:r>
      <w:r w:rsidR="00987630">
        <w:t>.</w:t>
      </w:r>
    </w:p>
    <w:p w:rsidR="003A6F46" w:rsidRPr="00586B32" w:rsidRDefault="00E310AB" w:rsidP="00AD419B">
      <w:pPr>
        <w:jc w:val="both"/>
      </w:pPr>
      <w:r>
        <w:t>Key Words- Clean Development Mechanism, Energy, carbon, emissions, Africa, barriers, Climate change.</w:t>
      </w:r>
    </w:p>
    <w:p w:rsidR="003A6F46" w:rsidRPr="005436D3" w:rsidRDefault="003A6F46" w:rsidP="00054240">
      <w:pPr>
        <w:pStyle w:val="ListParagraph"/>
        <w:numPr>
          <w:ilvl w:val="0"/>
          <w:numId w:val="2"/>
        </w:numPr>
        <w:jc w:val="both"/>
        <w:rPr>
          <w:b/>
        </w:rPr>
      </w:pPr>
      <w:r w:rsidRPr="005436D3">
        <w:rPr>
          <w:b/>
        </w:rPr>
        <w:lastRenderedPageBreak/>
        <w:t>Introduction</w:t>
      </w:r>
      <w:r w:rsidR="005436D3" w:rsidRPr="005436D3">
        <w:rPr>
          <w:b/>
        </w:rPr>
        <w:t>.</w:t>
      </w:r>
    </w:p>
    <w:p w:rsidR="00DF058B" w:rsidRDefault="00C87949" w:rsidP="005436D3">
      <w:pPr>
        <w:jc w:val="both"/>
      </w:pPr>
      <w:r>
        <w:t>The definition of Clean Development Mechanism (CDM) is given by</w:t>
      </w:r>
      <w:r w:rsidR="00586B32">
        <w:t xml:space="preserve"> (</w:t>
      </w:r>
      <w:r>
        <w:t>Climate Network Africa, 2006</w:t>
      </w:r>
      <w:r w:rsidR="00586B32">
        <w:t>)</w:t>
      </w:r>
      <w:r>
        <w:t xml:space="preserve">, as a provision of the Kyoto Protocol, </w:t>
      </w:r>
      <w:r w:rsidR="00586B32">
        <w:t>(</w:t>
      </w:r>
      <w:r>
        <w:t>1997</w:t>
      </w:r>
      <w:r w:rsidR="00586B32">
        <w:t>)</w:t>
      </w:r>
      <w:r>
        <w:t xml:space="preserve">, that intended to ensure that all parties within the developed countries and developing countries would benefit from projects activities designed to reduce the emission of greenhouse gases in the earth’s atmosphere. CDM was calculated to enable developing countries </w:t>
      </w:r>
      <w:r w:rsidR="008E0B4A">
        <w:t xml:space="preserve">(Referred to as Non- Annex Parties in this paper) </w:t>
      </w:r>
      <w:r>
        <w:t>to achieve sustainable development through projects carried in th</w:t>
      </w:r>
      <w:r w:rsidR="008E0B4A">
        <w:t xml:space="preserve">eir countries by the developed countries (which are referred to as Annex 1 Parties in this paper). The CDM projects that are encouraged to be established in developing countries as investments by the developed countries include and are not limited </w:t>
      </w:r>
      <w:r w:rsidR="00586B32">
        <w:t xml:space="preserve">to </w:t>
      </w:r>
      <w:r w:rsidR="008E0B4A">
        <w:t>promotion of forestry and afforestation, renewable</w:t>
      </w:r>
      <w:r w:rsidR="00586B32">
        <w:t xml:space="preserve"> sources of energy (solar, wind, geothermal, water and bioenergy) and improved technology in transportation and agricultural sectors. CDM promises developed countries certified emissions reduction (CERs), if they comply with their quantified emission targets</w:t>
      </w:r>
      <w:r w:rsidR="00A71DC3">
        <w:t>, and developing countries get s</w:t>
      </w:r>
      <w:r w:rsidR="00DC54D8">
        <w:t>ustainable development benefits</w:t>
      </w:r>
      <w:r w:rsidR="00A71DC3">
        <w:t>, if they participate and invest in clean development</w:t>
      </w:r>
      <w:r w:rsidR="00DC54D8">
        <w:t xml:space="preserve"> mechanism</w:t>
      </w:r>
      <w:r w:rsidR="00A71DC3">
        <w:t xml:space="preserve"> project</w:t>
      </w:r>
      <w:r w:rsidR="00DC54D8">
        <w:t xml:space="preserve">s. However, sustainable development shall only be achieved if the current barriers and gaps </w:t>
      </w:r>
      <w:r w:rsidR="003A41C4">
        <w:t>facing CDM implementation are addressed (</w:t>
      </w:r>
      <w:proofErr w:type="spellStart"/>
      <w:r w:rsidR="003A41C4">
        <w:t>Mutevu</w:t>
      </w:r>
      <w:proofErr w:type="spellEnd"/>
      <w:r w:rsidR="003A41C4">
        <w:t>, 2010)</w:t>
      </w:r>
      <w:r w:rsidR="00F97AE4">
        <w:t>.</w:t>
      </w:r>
      <w:r w:rsidR="00A93C50">
        <w:t xml:space="preserve"> </w:t>
      </w:r>
    </w:p>
    <w:p w:rsidR="005436D3" w:rsidRDefault="00F97AE4" w:rsidP="005436D3">
      <w:pPr>
        <w:jc w:val="both"/>
      </w:pPr>
      <w:r>
        <w:t>The Africa region is insignificant in</w:t>
      </w:r>
      <w:r w:rsidR="00A93C50">
        <w:t xml:space="preserve"> </w:t>
      </w:r>
      <w:r>
        <w:t>terms of emissions of greenhouse gases, accounting for only 7%</w:t>
      </w:r>
      <w:r w:rsidR="00C13D7F">
        <w:t xml:space="preserve"> of the global total, and at the current rates and pace of economic growth. The </w:t>
      </w:r>
      <w:r w:rsidR="00DF058B">
        <w:t xml:space="preserve">other </w:t>
      </w:r>
      <w:r w:rsidR="00C13D7F">
        <w:t>parts of the world accounting of greenhouse gases emissions are as follows: - U.S.A and Canada 25%, Europe, 21%, Former Soviet Union, 12%, Industrial pacific Asia, 5%, developing Asia, 19%, South and Central Am</w:t>
      </w:r>
      <w:r w:rsidR="00A93C50">
        <w:t>e</w:t>
      </w:r>
      <w:r w:rsidR="00C13D7F">
        <w:t>rica, 11 %, Middle East and Nort</w:t>
      </w:r>
      <w:r w:rsidR="00A93C50">
        <w:t>h Africa, 3 %, and Sub-S</w:t>
      </w:r>
      <w:r w:rsidR="00C13D7F">
        <w:t xml:space="preserve">aharan Africa 4 %. </w:t>
      </w:r>
      <w:proofErr w:type="gramStart"/>
      <w:r w:rsidR="00C13D7F">
        <w:t>(</w:t>
      </w:r>
      <w:r w:rsidR="00A93C50">
        <w:t>International Energy Agency, 2000).</w:t>
      </w:r>
      <w:proofErr w:type="gramEnd"/>
      <w:r w:rsidR="00013D0C">
        <w:t xml:space="preserve"> .</w:t>
      </w:r>
      <w:r w:rsidR="004230AE">
        <w:t xml:space="preserve">African can attract CDM projects but only in those countries that offer </w:t>
      </w:r>
      <w:proofErr w:type="spellStart"/>
      <w:r w:rsidR="004230AE">
        <w:t>favourable</w:t>
      </w:r>
      <w:proofErr w:type="spellEnd"/>
      <w:r w:rsidR="004230AE">
        <w:t xml:space="preserve"> investment environments will reap maximum benefits. Off the total 2944 projects </w:t>
      </w:r>
      <w:r w:rsidR="00DF058B">
        <w:t xml:space="preserve">in the pipeline, Asia -Pacific has the highest number of CDM projects with 2137 which accounts for 74 %. Latin America is second with 635 </w:t>
      </w:r>
      <w:proofErr w:type="gramStart"/>
      <w:r w:rsidR="00DF058B">
        <w:t>project</w:t>
      </w:r>
      <w:proofErr w:type="gramEnd"/>
      <w:r w:rsidR="00DF058B">
        <w:t xml:space="preserve"> accounting for 22 %. </w:t>
      </w:r>
      <w:proofErr w:type="gramStart"/>
      <w:r w:rsidR="00DF058B">
        <w:t>North Africa and Middle East accounts for 43 CDM projects with 1.5 %.</w:t>
      </w:r>
      <w:proofErr w:type="gramEnd"/>
      <w:r w:rsidR="00DF058B">
        <w:t xml:space="preserve"> And Sub-Saharan Africa with 38 CDM projects </w:t>
      </w:r>
      <w:r w:rsidR="00013D0C">
        <w:t xml:space="preserve">accounting for 1.3 % of the global CDM projects. </w:t>
      </w:r>
      <w:proofErr w:type="gramStart"/>
      <w:r w:rsidR="00013D0C">
        <w:t>(</w:t>
      </w:r>
      <w:proofErr w:type="spellStart"/>
      <w:r w:rsidR="00013D0C">
        <w:t>Mutevu</w:t>
      </w:r>
      <w:proofErr w:type="spellEnd"/>
      <w:r w:rsidR="00013D0C">
        <w:t>, 2010).</w:t>
      </w:r>
      <w:proofErr w:type="gramEnd"/>
    </w:p>
    <w:p w:rsidR="003C3593" w:rsidRDefault="003C3593" w:rsidP="003C3593">
      <w:pPr>
        <w:pStyle w:val="ListParagraph"/>
        <w:jc w:val="both"/>
      </w:pPr>
    </w:p>
    <w:p w:rsidR="00054240" w:rsidRPr="003C3593" w:rsidRDefault="00054240" w:rsidP="00054240">
      <w:pPr>
        <w:pStyle w:val="ListParagraph"/>
        <w:numPr>
          <w:ilvl w:val="0"/>
          <w:numId w:val="2"/>
        </w:numPr>
        <w:jc w:val="both"/>
        <w:rPr>
          <w:b/>
        </w:rPr>
      </w:pPr>
      <w:r w:rsidRPr="003C3593">
        <w:rPr>
          <w:b/>
        </w:rPr>
        <w:t>The problem</w:t>
      </w:r>
      <w:r w:rsidR="00221368" w:rsidRPr="003C3593">
        <w:rPr>
          <w:b/>
        </w:rPr>
        <w:t>.</w:t>
      </w:r>
    </w:p>
    <w:p w:rsidR="00221368" w:rsidRDefault="00221368" w:rsidP="00221368">
      <w:pPr>
        <w:ind w:left="360"/>
        <w:jc w:val="both"/>
      </w:pPr>
      <w:r>
        <w:t>Africa has so far benefitted little from Clean Development Mechanisms</w:t>
      </w:r>
      <w:r w:rsidR="004920E1">
        <w:t xml:space="preserve"> (CDM)</w:t>
      </w:r>
      <w:r>
        <w:t>. Up</w:t>
      </w:r>
      <w:r w:rsidR="004920E1">
        <w:t xml:space="preserve"> </w:t>
      </w:r>
      <w:r>
        <w:t>to 2013</w:t>
      </w:r>
      <w:r w:rsidR="004920E1">
        <w:t>,</w:t>
      </w:r>
      <w:r>
        <w:t xml:space="preserve"> there were only 141 registered CDM projects in Africa, making up only 2.12% of the total registered</w:t>
      </w:r>
      <w:r w:rsidR="00E86A53">
        <w:t xml:space="preserve"> CDM projects in </w:t>
      </w:r>
      <w:r>
        <w:t>globally, of these 8 are in Kenya</w:t>
      </w:r>
      <w:r w:rsidR="004920E1">
        <w:t>. The purpose for</w:t>
      </w:r>
      <w:r w:rsidR="00E86A53">
        <w:t xml:space="preserve"> this paper</w:t>
      </w:r>
      <w:r w:rsidR="004920E1">
        <w:t xml:space="preserve"> is to come up with researched information which shows factors hindering Africa from successful implementation of CDM projects and </w:t>
      </w:r>
      <w:r w:rsidR="003C3593">
        <w:t xml:space="preserve">evaluate </w:t>
      </w:r>
      <w:r w:rsidR="004920E1">
        <w:t>how carbon emission reductions and energy management relates to climate change and sustainable development in Africa</w:t>
      </w:r>
      <w:r w:rsidR="00E86A53">
        <w:t>.</w:t>
      </w:r>
    </w:p>
    <w:p w:rsidR="00054240" w:rsidRPr="003C3593" w:rsidRDefault="00054240" w:rsidP="00054240">
      <w:pPr>
        <w:pStyle w:val="ListParagraph"/>
        <w:numPr>
          <w:ilvl w:val="0"/>
          <w:numId w:val="2"/>
        </w:numPr>
        <w:jc w:val="both"/>
        <w:rPr>
          <w:b/>
        </w:rPr>
      </w:pPr>
      <w:r w:rsidRPr="003C3593">
        <w:rPr>
          <w:b/>
        </w:rPr>
        <w:t>Aim and Objectives</w:t>
      </w:r>
    </w:p>
    <w:p w:rsidR="003110FB" w:rsidRDefault="003110FB" w:rsidP="00E86A53">
      <w:pPr>
        <w:ind w:left="360"/>
        <w:jc w:val="both"/>
      </w:pPr>
      <w:r>
        <w:t xml:space="preserve">The aim of this paper is to focus on experimentally researched information on factors that are an impediment to the implementation of clean development mechanism (CDM), and the effects and </w:t>
      </w:r>
      <w:r>
        <w:lastRenderedPageBreak/>
        <w:t xml:space="preserve">solutions on carbon emissions reduction and energy management initiatives for sustainable development in relation to climate change in Africa. The objectives are </w:t>
      </w:r>
    </w:p>
    <w:p w:rsidR="003110FB" w:rsidRDefault="00F57B30" w:rsidP="00E86A53">
      <w:pPr>
        <w:ind w:left="360"/>
        <w:jc w:val="both"/>
      </w:pPr>
      <w:r>
        <w:t>i).</w:t>
      </w:r>
      <w:r w:rsidR="003110FB">
        <w:t xml:space="preserve"> </w:t>
      </w:r>
      <w:r>
        <w:t xml:space="preserve"> T</w:t>
      </w:r>
      <w:r w:rsidR="003110FB">
        <w:t xml:space="preserve">o identify some countries in Africa where experimental studies have been done on factors which hinter implementation of CDM and the research methods, results,  findings obtained and application in providing solutions on the way forward for implementation of CDM in Africa., </w:t>
      </w:r>
    </w:p>
    <w:p w:rsidR="00F57B30" w:rsidRDefault="00F57B30" w:rsidP="00E86A53">
      <w:pPr>
        <w:ind w:left="360"/>
        <w:jc w:val="both"/>
      </w:pPr>
      <w:r>
        <w:t>ii)</w:t>
      </w:r>
      <w:r w:rsidR="003110FB">
        <w:t xml:space="preserve">. </w:t>
      </w:r>
      <w:proofErr w:type="gramStart"/>
      <w:r>
        <w:t>T</w:t>
      </w:r>
      <w:r w:rsidR="003C3593">
        <w:t>o</w:t>
      </w:r>
      <w:proofErr w:type="gramEnd"/>
      <w:r w:rsidR="003C3593">
        <w:t xml:space="preserve"> evaluate</w:t>
      </w:r>
      <w:r w:rsidR="003110FB">
        <w:t xml:space="preserve"> the impacts of the failure and or success to implement the clean development mechanism on carbon emissions reductions and energy management in relation to climate change and sustainable development in Africa and </w:t>
      </w:r>
    </w:p>
    <w:p w:rsidR="00E86A53" w:rsidRDefault="00F57B30" w:rsidP="00E86A53">
      <w:pPr>
        <w:ind w:left="360"/>
        <w:jc w:val="both"/>
      </w:pPr>
      <w:r>
        <w:t>iii) T</w:t>
      </w:r>
      <w:r w:rsidR="003110FB">
        <w:t>o suggest solutions that can be used to accelerate the implementation of CDM in Africa.</w:t>
      </w:r>
    </w:p>
    <w:p w:rsidR="00054240" w:rsidRPr="005F1280" w:rsidRDefault="00054240" w:rsidP="00054240">
      <w:pPr>
        <w:pStyle w:val="ListParagraph"/>
        <w:numPr>
          <w:ilvl w:val="0"/>
          <w:numId w:val="2"/>
        </w:numPr>
        <w:jc w:val="both"/>
        <w:rPr>
          <w:b/>
        </w:rPr>
      </w:pPr>
      <w:r w:rsidRPr="005F1280">
        <w:rPr>
          <w:b/>
        </w:rPr>
        <w:t>Literature Review</w:t>
      </w:r>
      <w:r w:rsidR="003C3593" w:rsidRPr="005F1280">
        <w:rPr>
          <w:b/>
        </w:rPr>
        <w:t>.</w:t>
      </w:r>
    </w:p>
    <w:p w:rsidR="003C3593" w:rsidRDefault="00E761A2" w:rsidP="005F1280">
      <w:pPr>
        <w:pStyle w:val="ListParagraph"/>
        <w:numPr>
          <w:ilvl w:val="1"/>
          <w:numId w:val="2"/>
        </w:numPr>
        <w:jc w:val="both"/>
      </w:pPr>
      <w:r>
        <w:t xml:space="preserve">– The </w:t>
      </w:r>
      <w:r w:rsidR="005F1280">
        <w:t>concept and rationale of Clean Development Mechanism</w:t>
      </w:r>
    </w:p>
    <w:p w:rsidR="005F1280" w:rsidRDefault="005F1280" w:rsidP="005F1280">
      <w:pPr>
        <w:ind w:left="360"/>
        <w:jc w:val="both"/>
      </w:pPr>
      <w:r>
        <w:t xml:space="preserve">Clean Development Mechanism (CDM) is a provision of the Kyoto Protocol held in 1997, that ensures that all parties (of developed countries referred to as Annex 1 Parties  and developing countries referred to Non Annex 1 parties) </w:t>
      </w:r>
      <w:r w:rsidR="00776855">
        <w:t>to the protocol benefit from the</w:t>
      </w:r>
      <w:r w:rsidR="006B72CE">
        <w:t xml:space="preserve"> project activities designed to</w:t>
      </w:r>
      <w:r w:rsidR="00776855">
        <w:t xml:space="preserve"> reduce emission of greenhouse gases into the earth’s atmosphere (</w:t>
      </w:r>
      <w:r w:rsidR="00B94530">
        <w:t>Climate Network</w:t>
      </w:r>
      <w:r w:rsidR="006B72CE">
        <w:t xml:space="preserve"> Africa, 2006). </w:t>
      </w:r>
      <w:r w:rsidR="0042411D">
        <w:t xml:space="preserve">CDM provision aims to assist Parties </w:t>
      </w:r>
      <w:r w:rsidR="006B72CE">
        <w:t xml:space="preserve">not included in Annex 1 achieving </w:t>
      </w:r>
      <w:r w:rsidR="0042411D">
        <w:t xml:space="preserve">sustainable development and in contributing to the ultimate objectives of Kyoto Protocol. CDM is also aimed at enabling </w:t>
      </w:r>
      <w:r w:rsidR="00431201">
        <w:t xml:space="preserve">Annex 1 Parties to meet their GHG emissions reduction obligations by supporting sustainable development projects located in the Non- Annex 1 countries (Climate Network Africa, 2006). It is assumed that the Africa region and other developing countries are to </w:t>
      </w:r>
      <w:r w:rsidR="00ED4098">
        <w:t xml:space="preserve">benefit from </w:t>
      </w:r>
      <w:r w:rsidR="00431201">
        <w:t xml:space="preserve">CDM </w:t>
      </w:r>
      <w:r w:rsidR="00ED4098">
        <w:t xml:space="preserve">projects and also have access to other sustainable developments funds that may be made available by the developed countries. </w:t>
      </w:r>
      <w:r w:rsidR="005B4BA6">
        <w:t xml:space="preserve">CDM is one of the new mechanisms contained in the Kyoto Protocol to the United Nations Framework – Convention on Climate Change (UNFCCC). The CDM is intended to bring about cooperation in emissions of GHG’s   reduction between industrialized countries, for which GHG reduction is mandatory under the Protocol, and the developing countries, which for the time being are allowed </w:t>
      </w:r>
      <w:r w:rsidR="00702EA8">
        <w:t>to continue emitting GHG’s. The concept was, for a tax to be levied on Annex 1 Parties for non-compliance with thei</w:t>
      </w:r>
      <w:r w:rsidR="000B4FF5">
        <w:t>r GHG emissions reduction commi</w:t>
      </w:r>
      <w:r w:rsidR="00702EA8">
        <w:t>tments</w:t>
      </w:r>
      <w:r w:rsidR="000B4FF5">
        <w:t xml:space="preserve">. Under this arrangement, those Annex 1 Parties that failed to meet their GHG reduction targets or take expected actions would be charged a levy, and the monies would thus obtained would go  in to a fund to assist Non-Annex 1 parties with their emission reduction and limitation efforts even , these were not mandatory. This is what led to clean development mechanism. </w:t>
      </w:r>
      <w:proofErr w:type="gramStart"/>
      <w:r w:rsidR="000B4FF5">
        <w:t>(Climate Network Africa, 2006).</w:t>
      </w:r>
      <w:proofErr w:type="gramEnd"/>
    </w:p>
    <w:p w:rsidR="00ED4098" w:rsidRDefault="00C84D3E" w:rsidP="005F1280">
      <w:pPr>
        <w:ind w:left="360"/>
        <w:jc w:val="both"/>
      </w:pPr>
      <w:r>
        <w:t xml:space="preserve">CDM </w:t>
      </w:r>
      <w:r w:rsidR="00E138A8">
        <w:t xml:space="preserve">projects </w:t>
      </w:r>
      <w:r>
        <w:t>promises developed countries certified emissions reductions (CER) if they comply with their quantified emissions targets and developing countries sustainable development benefits if they participate and invest in clean development technologies</w:t>
      </w:r>
      <w:r w:rsidR="00FB6D22">
        <w:t>. Energy develop</w:t>
      </w:r>
      <w:r w:rsidR="00E511DC">
        <w:t>ment and management through CDM</w:t>
      </w:r>
      <w:r w:rsidR="00FB6D22">
        <w:t xml:space="preserve"> investments transfer can contribute to sustainable development (</w:t>
      </w:r>
      <w:proofErr w:type="spellStart"/>
      <w:r w:rsidR="00FB6D22">
        <w:t>Mutevu</w:t>
      </w:r>
      <w:proofErr w:type="spellEnd"/>
      <w:r w:rsidR="00FB6D22">
        <w:t>, 2010).</w:t>
      </w:r>
      <w:r w:rsidR="00B918B9">
        <w:t xml:space="preserve"> According to (</w:t>
      </w:r>
      <w:proofErr w:type="spellStart"/>
      <w:r w:rsidR="00B918B9">
        <w:t>Sokona</w:t>
      </w:r>
      <w:proofErr w:type="spellEnd"/>
      <w:r w:rsidR="00B918B9">
        <w:t xml:space="preserve"> et al, 2000), it can be said that the four most important requirements for the</w:t>
      </w:r>
      <w:r w:rsidR="00E511DC">
        <w:t xml:space="preserve"> satisfactory</w:t>
      </w:r>
      <w:r w:rsidR="00B918B9">
        <w:t xml:space="preserve"> functioning CDM </w:t>
      </w:r>
      <w:r w:rsidR="00E138A8">
        <w:t xml:space="preserve">projects </w:t>
      </w:r>
      <w:r w:rsidR="00E511DC">
        <w:t xml:space="preserve">are that, (i) It functions on a multilateral </w:t>
      </w:r>
      <w:r w:rsidR="00E511DC">
        <w:lastRenderedPageBreak/>
        <w:t>basis (ii) Ensure that “ avoided future GHG’s emissions have equal priority status as emissions reductions</w:t>
      </w:r>
      <w:r w:rsidR="005F753A">
        <w:t>.</w:t>
      </w:r>
      <w:r w:rsidR="00E511DC">
        <w:t xml:space="preserve">”  (iii) </w:t>
      </w:r>
      <w:r w:rsidR="005F753A">
        <w:t xml:space="preserve">Operates to an explicit set criteria that prioritize sustainable development as well as GHG’s emissions mitigation.  </w:t>
      </w:r>
      <w:r w:rsidR="00E511DC">
        <w:t xml:space="preserve"> </w:t>
      </w:r>
      <w:proofErr w:type="gramStart"/>
      <w:r w:rsidR="005F753A">
        <w:t xml:space="preserve">(iv) </w:t>
      </w:r>
      <w:r w:rsidR="00203196">
        <w:t>Incorporates</w:t>
      </w:r>
      <w:proofErr w:type="gramEnd"/>
      <w:r w:rsidR="00203196">
        <w:t xml:space="preserve"> those criteria that are of special interest to Africa into the notions of certifications and baselines, as well as the constitution of the Executive Board and other operational entities.</w:t>
      </w:r>
    </w:p>
    <w:p w:rsidR="00203196" w:rsidRDefault="00163CBA" w:rsidP="005F1280">
      <w:pPr>
        <w:ind w:left="360"/>
        <w:jc w:val="both"/>
      </w:pPr>
      <w:r>
        <w:t xml:space="preserve">4.2. </w:t>
      </w:r>
      <w:r w:rsidR="004A0B94">
        <w:t xml:space="preserve">Advantages and disadvantages of CDM in Africa </w:t>
      </w:r>
    </w:p>
    <w:p w:rsidR="004A0B94" w:rsidRDefault="004A0B94" w:rsidP="005F1280">
      <w:pPr>
        <w:ind w:left="360"/>
        <w:jc w:val="both"/>
      </w:pPr>
      <w:r>
        <w:t>A study carried out in by (</w:t>
      </w:r>
      <w:proofErr w:type="spellStart"/>
      <w:r>
        <w:t>Mutevu</w:t>
      </w:r>
      <w:proofErr w:type="spellEnd"/>
      <w:r>
        <w:t>, 2010) showed that by implementing CDM</w:t>
      </w:r>
      <w:r w:rsidR="00F52C25">
        <w:t xml:space="preserve"> proj</w:t>
      </w:r>
      <w:r w:rsidR="00E138A8">
        <w:t>ects</w:t>
      </w:r>
      <w:r>
        <w:t xml:space="preserve"> in Kenya, several benefits would be realized, which included and not limited to the following: </w:t>
      </w:r>
      <w:r w:rsidR="00E138A8">
        <w:t xml:space="preserve">technology transfer, payments for carbon credits, improved environmental conservation, reduced soil erosion, increased foreign direct investments, reduced </w:t>
      </w:r>
      <w:r w:rsidR="0084700A">
        <w:t>indoor and out</w:t>
      </w:r>
      <w:r w:rsidR="00880DB6">
        <w:t>door</w:t>
      </w:r>
      <w:r w:rsidR="00E138A8">
        <w:t xml:space="preserve"> pollution and increased growth of sustainable development</w:t>
      </w:r>
      <w:r w:rsidR="0084700A">
        <w:t xml:space="preserve"> and increased responses to</w:t>
      </w:r>
      <w:r w:rsidR="00880DB6">
        <w:t xml:space="preserve"> management</w:t>
      </w:r>
      <w:r w:rsidR="0084700A">
        <w:t xml:space="preserve"> practices of climate change. </w:t>
      </w:r>
      <w:r w:rsidR="00880DB6">
        <w:t xml:space="preserve">The Burkina Faso study </w:t>
      </w:r>
      <w:r w:rsidR="002917EC">
        <w:t>by (World Bank, 2000)</w:t>
      </w:r>
      <w:r w:rsidR="00805326">
        <w:t xml:space="preserve"> </w:t>
      </w:r>
      <w:r w:rsidR="00880DB6">
        <w:t xml:space="preserve">identified the benefits of using CDM projects in Africa as </w:t>
      </w:r>
      <w:r w:rsidR="00D367C5">
        <w:t>emphasis on renewable energy sources, for example introduction of photovoltaic systems  to</w:t>
      </w:r>
      <w:r w:rsidR="00A41A71">
        <w:t xml:space="preserve"> create social benefits</w:t>
      </w:r>
      <w:r w:rsidR="00D367C5">
        <w:t xml:space="preserve">  such as access to safer drinking water, the </w:t>
      </w:r>
      <w:r w:rsidR="008D59EF">
        <w:t>PV</w:t>
      </w:r>
      <w:r w:rsidR="00A41A71">
        <w:t xml:space="preserve"> program to create market and employment opportunities, increased forestry through afforestation and</w:t>
      </w:r>
      <w:r w:rsidR="008D59EF">
        <w:t xml:space="preserve"> re</w:t>
      </w:r>
      <w:r w:rsidR="00A41A71">
        <w:t>forestat</w:t>
      </w:r>
      <w:r w:rsidR="008D59EF">
        <w:t>ion for sustainable development, agricultural technology improvement, fuel saving transportation options such as improved technologies, less polluting industry and mining production methods and ecological restoration, improved waste management practices all for improved sustainable development</w:t>
      </w:r>
      <w:r w:rsidR="00136D67">
        <w:t xml:space="preserve">. </w:t>
      </w:r>
    </w:p>
    <w:p w:rsidR="00136D67" w:rsidRDefault="00136D67" w:rsidP="005F1280">
      <w:pPr>
        <w:ind w:left="360"/>
        <w:jc w:val="both"/>
      </w:pPr>
      <w:r>
        <w:t>The disadvantages of implementing CDM projects in Africa are few and limited. They include and are not limited to the following:- CDM has never been tried before, there is an atmosphere of suspicion about t</w:t>
      </w:r>
      <w:r w:rsidR="00A67952">
        <w:t xml:space="preserve">he intention of Annex 1 Parties, certain proposals on CDM appear the adverse social effects the projects may have on local populations, project proposal in the area of land use change </w:t>
      </w:r>
      <w:r w:rsidR="00C55F45">
        <w:t>and forestry touch on very sensitive areas to with land tenure, and over-emphasis on energy may jeopardize development funding for other sectors of development (Climate Network Africa, 200).</w:t>
      </w:r>
    </w:p>
    <w:p w:rsidR="00B45F32" w:rsidRDefault="00B45F32" w:rsidP="005F1280">
      <w:pPr>
        <w:ind w:left="360"/>
        <w:jc w:val="both"/>
      </w:pPr>
    </w:p>
    <w:p w:rsidR="00054240" w:rsidRPr="00E310AB" w:rsidRDefault="00054240" w:rsidP="00054240">
      <w:pPr>
        <w:pStyle w:val="ListParagraph"/>
        <w:numPr>
          <w:ilvl w:val="0"/>
          <w:numId w:val="2"/>
        </w:numPr>
        <w:jc w:val="both"/>
        <w:rPr>
          <w:b/>
        </w:rPr>
      </w:pPr>
      <w:r w:rsidRPr="00E310AB">
        <w:rPr>
          <w:b/>
        </w:rPr>
        <w:t>Methodology</w:t>
      </w:r>
    </w:p>
    <w:p w:rsidR="00AF469C" w:rsidRDefault="00AF469C" w:rsidP="00AF469C">
      <w:pPr>
        <w:pStyle w:val="ListParagraph"/>
        <w:jc w:val="both"/>
      </w:pPr>
      <w:r>
        <w:t xml:space="preserve">Case studies </w:t>
      </w:r>
      <w:r w:rsidR="00ED6623">
        <w:t>approach of several countries in Africa has been used in this paper, which include</w:t>
      </w:r>
      <w:r w:rsidR="000C2AFE">
        <w:t>d</w:t>
      </w:r>
      <w:r w:rsidR="00ED6623">
        <w:t>, Kenya</w:t>
      </w:r>
      <w:r w:rsidR="008D787C">
        <w:t>, Burkina Faso,</w:t>
      </w:r>
      <w:r w:rsidR="00532C75">
        <w:t xml:space="preserve"> Sudan</w:t>
      </w:r>
      <w:r w:rsidR="00C22712">
        <w:t xml:space="preserve">, Swaziland, South Africa, </w:t>
      </w:r>
      <w:r w:rsidR="00532C75">
        <w:t xml:space="preserve"> </w:t>
      </w:r>
      <w:r w:rsidR="008D787C">
        <w:t xml:space="preserve">and other countries in Africa. </w:t>
      </w:r>
      <w:r w:rsidR="000C2AFE">
        <w:t xml:space="preserve">These case studies investigated on a variety of sectors and of CDM projects which were implemented or were proposed to be implemented which included, afforestation &amp; reforestation, transport, energy, industry, agriculture and wastes. </w:t>
      </w:r>
      <w:r w:rsidR="00C22712">
        <w:t xml:space="preserve">These case studies were done between 2000 and 2010. </w:t>
      </w:r>
    </w:p>
    <w:p w:rsidR="00C22712" w:rsidRDefault="00C22712" w:rsidP="00AF469C">
      <w:pPr>
        <w:pStyle w:val="ListParagraph"/>
        <w:jc w:val="both"/>
      </w:pPr>
    </w:p>
    <w:p w:rsidR="00C22712" w:rsidRDefault="00A2639C" w:rsidP="00AF469C">
      <w:pPr>
        <w:pStyle w:val="ListParagraph"/>
        <w:jc w:val="both"/>
      </w:pPr>
      <w:r>
        <w:t xml:space="preserve">5.1 </w:t>
      </w:r>
      <w:r w:rsidR="00C22712">
        <w:t>Data Collection Methods used.</w:t>
      </w:r>
    </w:p>
    <w:p w:rsidR="00C22712" w:rsidRDefault="00C22712" w:rsidP="00AF469C">
      <w:pPr>
        <w:pStyle w:val="ListParagraph"/>
        <w:jc w:val="both"/>
      </w:pPr>
      <w:r>
        <w:t>The</w:t>
      </w:r>
      <w:r w:rsidR="008F12CB">
        <w:t xml:space="preserve"> </w:t>
      </w:r>
      <w:proofErr w:type="gramStart"/>
      <w:r w:rsidR="008F12CB">
        <w:t>method</w:t>
      </w:r>
      <w:r>
        <w:t xml:space="preserve"> used to collect in most of these case studies included but were</w:t>
      </w:r>
      <w:proofErr w:type="gramEnd"/>
      <w:r>
        <w:t xml:space="preserve"> not limited to the following; interviews, questionnaires, literature review, field visits and observations, </w:t>
      </w:r>
      <w:r w:rsidR="00055197">
        <w:t>website and internet sources were also used for data collection.</w:t>
      </w:r>
    </w:p>
    <w:p w:rsidR="00A2639C" w:rsidRDefault="00A2639C" w:rsidP="00AF469C">
      <w:pPr>
        <w:pStyle w:val="ListParagraph"/>
        <w:jc w:val="both"/>
      </w:pPr>
    </w:p>
    <w:p w:rsidR="00055197" w:rsidRDefault="00A2639C" w:rsidP="00A2639C">
      <w:pPr>
        <w:pStyle w:val="ListParagraph"/>
        <w:jc w:val="both"/>
      </w:pPr>
      <w:r>
        <w:lastRenderedPageBreak/>
        <w:t>5.2 Data Analysis Methods</w:t>
      </w:r>
    </w:p>
    <w:p w:rsidR="00A2639C" w:rsidRDefault="00A2639C" w:rsidP="00A2639C">
      <w:pPr>
        <w:pStyle w:val="ListParagraph"/>
        <w:jc w:val="both"/>
      </w:pPr>
      <w:r>
        <w:t>The methods used to analyze data included SPSS computer package which resulted into table, graphs, pie charts and percentages, some of which are used in this paper.</w:t>
      </w:r>
    </w:p>
    <w:p w:rsidR="00A2639C" w:rsidRDefault="00A2639C" w:rsidP="00A2639C">
      <w:pPr>
        <w:pStyle w:val="ListParagraph"/>
        <w:jc w:val="both"/>
      </w:pPr>
    </w:p>
    <w:p w:rsidR="00A2639C" w:rsidRDefault="00A2639C" w:rsidP="00A2639C">
      <w:pPr>
        <w:pStyle w:val="ListParagraph"/>
        <w:jc w:val="both"/>
      </w:pPr>
    </w:p>
    <w:p w:rsidR="00054240" w:rsidRDefault="00A2639C" w:rsidP="00054240">
      <w:pPr>
        <w:pStyle w:val="ListParagraph"/>
        <w:numPr>
          <w:ilvl w:val="0"/>
          <w:numId w:val="2"/>
        </w:numPr>
        <w:jc w:val="both"/>
      </w:pPr>
      <w:r>
        <w:t>Results and discussion.</w:t>
      </w:r>
    </w:p>
    <w:p w:rsidR="0044001A" w:rsidRDefault="00641195" w:rsidP="0044001A">
      <w:pPr>
        <w:pStyle w:val="ListParagraph"/>
        <w:jc w:val="both"/>
      </w:pPr>
      <w:r>
        <w:t>A study done in Kenya on the various barriers and gaps affecting the implementation of CDM projects came have with the following results (</w:t>
      </w:r>
      <w:proofErr w:type="spellStart"/>
      <w:r>
        <w:t>Mutevu</w:t>
      </w:r>
      <w:proofErr w:type="spellEnd"/>
      <w:r>
        <w:t xml:space="preserve">, 2010). The project financing barriers and gaps came out as the most significant </w:t>
      </w:r>
      <w:r w:rsidR="002354C0">
        <w:t>to the development of CDM projects among 80% of the 20 institutional participating respondents interviewed</w:t>
      </w:r>
      <w:r w:rsidR="005F3B19">
        <w:t xml:space="preserve">. Institutional barriers and gaps had 70% of the respondents interviewed acknowledging that it was another impediment to CDM </w:t>
      </w:r>
      <w:r w:rsidR="008936C3">
        <w:rPr>
          <w:sz w:val="24"/>
          <w:szCs w:val="24"/>
        </w:rPr>
        <w:t>implementation in K</w:t>
      </w:r>
      <w:r w:rsidR="008936C3" w:rsidRPr="008936C3">
        <w:rPr>
          <w:sz w:val="24"/>
          <w:szCs w:val="24"/>
        </w:rPr>
        <w:t>enya</w:t>
      </w:r>
      <w:r w:rsidR="005F3B19">
        <w:t xml:space="preserve">, while 60 % of respondents saw policy barriers and </w:t>
      </w:r>
      <w:r w:rsidR="008936C3">
        <w:t xml:space="preserve">gaps as other impediments slowing CDM projects development in Kenya. The same study showed that 90%, 53% and 60 % </w:t>
      </w:r>
      <w:r w:rsidR="00D879D0">
        <w:t xml:space="preserve">of the respondents </w:t>
      </w:r>
      <w:r w:rsidR="008936C3">
        <w:t xml:space="preserve">drawn from the </w:t>
      </w:r>
      <w:r w:rsidR="00D879D0">
        <w:t>private sector, public sector and civil society organizations respectively showed admitted that there were presence of barriers and gaps that were key impediments to CDM development in Kenya, as indicated by the Table</w:t>
      </w:r>
      <w:r w:rsidR="00BB4D99">
        <w:t xml:space="preserve"> 1.1.</w:t>
      </w:r>
    </w:p>
    <w:p w:rsidR="00D879D0" w:rsidRDefault="00D879D0" w:rsidP="0044001A">
      <w:pPr>
        <w:pStyle w:val="ListParagraph"/>
        <w:jc w:val="both"/>
      </w:pPr>
    </w:p>
    <w:tbl>
      <w:tblPr>
        <w:tblStyle w:val="TableGrid"/>
        <w:tblW w:w="8862" w:type="dxa"/>
        <w:tblInd w:w="720" w:type="dxa"/>
        <w:tblLook w:val="0000" w:firstRow="0" w:lastRow="0" w:firstColumn="0" w:lastColumn="0" w:noHBand="0" w:noVBand="0"/>
      </w:tblPr>
      <w:tblGrid>
        <w:gridCol w:w="3640"/>
        <w:gridCol w:w="309"/>
        <w:gridCol w:w="763"/>
        <w:gridCol w:w="1065"/>
        <w:gridCol w:w="899"/>
        <w:gridCol w:w="625"/>
        <w:gridCol w:w="824"/>
        <w:gridCol w:w="731"/>
        <w:gridCol w:w="6"/>
      </w:tblGrid>
      <w:tr w:rsidR="002D375E" w:rsidTr="003219C6">
        <w:trPr>
          <w:gridBefore w:val="1"/>
          <w:wBefore w:w="3640" w:type="dxa"/>
          <w:trHeight w:val="285"/>
        </w:trPr>
        <w:tc>
          <w:tcPr>
            <w:tcW w:w="309" w:type="dxa"/>
          </w:tcPr>
          <w:p w:rsidR="002D375E" w:rsidRDefault="002D375E" w:rsidP="002D375E">
            <w:pPr>
              <w:pStyle w:val="ListParagraph"/>
              <w:spacing w:after="200" w:line="276" w:lineRule="auto"/>
              <w:jc w:val="both"/>
            </w:pPr>
          </w:p>
        </w:tc>
        <w:tc>
          <w:tcPr>
            <w:tcW w:w="4913" w:type="dxa"/>
            <w:gridSpan w:val="7"/>
            <w:shd w:val="clear" w:color="auto" w:fill="auto"/>
          </w:tcPr>
          <w:p w:rsidR="002D375E" w:rsidRDefault="003219C6">
            <w:r>
              <w:t>Respondent by Sector</w:t>
            </w:r>
          </w:p>
        </w:tc>
      </w:tr>
      <w:tr w:rsidR="00D879D0" w:rsidTr="003219C6">
        <w:tblPrEx>
          <w:tblLook w:val="04A0" w:firstRow="1" w:lastRow="0" w:firstColumn="1" w:lastColumn="0" w:noHBand="0" w:noVBand="1"/>
        </w:tblPrEx>
        <w:trPr>
          <w:gridAfter w:val="1"/>
          <w:wAfter w:w="6" w:type="dxa"/>
        </w:trPr>
        <w:tc>
          <w:tcPr>
            <w:tcW w:w="3640" w:type="dxa"/>
          </w:tcPr>
          <w:p w:rsidR="00D879D0" w:rsidRDefault="00D879D0" w:rsidP="0044001A">
            <w:pPr>
              <w:pStyle w:val="ListParagraph"/>
              <w:ind w:left="0"/>
              <w:jc w:val="both"/>
            </w:pPr>
          </w:p>
        </w:tc>
        <w:tc>
          <w:tcPr>
            <w:tcW w:w="1072" w:type="dxa"/>
            <w:gridSpan w:val="2"/>
          </w:tcPr>
          <w:p w:rsidR="00D879D0" w:rsidRDefault="00D879D0" w:rsidP="0044001A">
            <w:pPr>
              <w:pStyle w:val="ListParagraph"/>
              <w:ind w:left="0"/>
              <w:jc w:val="both"/>
            </w:pPr>
          </w:p>
        </w:tc>
        <w:tc>
          <w:tcPr>
            <w:tcW w:w="1065" w:type="dxa"/>
          </w:tcPr>
          <w:p w:rsidR="00D879D0" w:rsidRDefault="00D879D0" w:rsidP="0044001A">
            <w:pPr>
              <w:pStyle w:val="ListParagraph"/>
              <w:ind w:left="0"/>
              <w:jc w:val="both"/>
            </w:pPr>
          </w:p>
        </w:tc>
        <w:tc>
          <w:tcPr>
            <w:tcW w:w="899" w:type="dxa"/>
          </w:tcPr>
          <w:p w:rsidR="00D879D0" w:rsidRDefault="00D879D0" w:rsidP="0044001A">
            <w:pPr>
              <w:pStyle w:val="ListParagraph"/>
              <w:ind w:left="0"/>
              <w:jc w:val="both"/>
            </w:pPr>
          </w:p>
        </w:tc>
        <w:tc>
          <w:tcPr>
            <w:tcW w:w="625" w:type="dxa"/>
          </w:tcPr>
          <w:p w:rsidR="00D879D0" w:rsidRDefault="00D879D0" w:rsidP="0044001A">
            <w:pPr>
              <w:pStyle w:val="ListParagraph"/>
              <w:ind w:left="0"/>
              <w:jc w:val="both"/>
            </w:pPr>
          </w:p>
        </w:tc>
        <w:tc>
          <w:tcPr>
            <w:tcW w:w="824" w:type="dxa"/>
          </w:tcPr>
          <w:p w:rsidR="00D879D0" w:rsidRDefault="00D879D0" w:rsidP="0044001A">
            <w:pPr>
              <w:pStyle w:val="ListParagraph"/>
              <w:ind w:left="0"/>
              <w:jc w:val="both"/>
            </w:pPr>
          </w:p>
        </w:tc>
        <w:tc>
          <w:tcPr>
            <w:tcW w:w="731" w:type="dxa"/>
          </w:tcPr>
          <w:p w:rsidR="00D879D0" w:rsidRDefault="00D879D0" w:rsidP="0044001A">
            <w:pPr>
              <w:pStyle w:val="ListParagraph"/>
              <w:ind w:left="0"/>
              <w:jc w:val="both"/>
            </w:pPr>
          </w:p>
        </w:tc>
      </w:tr>
      <w:tr w:rsidR="00D879D0" w:rsidTr="003219C6">
        <w:tblPrEx>
          <w:tblLook w:val="04A0" w:firstRow="1" w:lastRow="0" w:firstColumn="1" w:lastColumn="0" w:noHBand="0" w:noVBand="1"/>
        </w:tblPrEx>
        <w:trPr>
          <w:gridAfter w:val="1"/>
          <w:wAfter w:w="6" w:type="dxa"/>
        </w:trPr>
        <w:tc>
          <w:tcPr>
            <w:tcW w:w="3640" w:type="dxa"/>
          </w:tcPr>
          <w:p w:rsidR="00D879D0" w:rsidRDefault="002D375E" w:rsidP="0044001A">
            <w:pPr>
              <w:pStyle w:val="ListParagraph"/>
              <w:ind w:left="0"/>
              <w:jc w:val="both"/>
            </w:pPr>
            <w:r>
              <w:t>Type of Barrier</w:t>
            </w:r>
          </w:p>
        </w:tc>
        <w:tc>
          <w:tcPr>
            <w:tcW w:w="1072" w:type="dxa"/>
            <w:gridSpan w:val="2"/>
          </w:tcPr>
          <w:p w:rsidR="00D879D0" w:rsidRDefault="003219C6" w:rsidP="0044001A">
            <w:pPr>
              <w:pStyle w:val="ListParagraph"/>
              <w:ind w:left="0"/>
              <w:jc w:val="both"/>
            </w:pPr>
            <w:r>
              <w:t>Public</w:t>
            </w:r>
          </w:p>
        </w:tc>
        <w:tc>
          <w:tcPr>
            <w:tcW w:w="1065" w:type="dxa"/>
          </w:tcPr>
          <w:p w:rsidR="00D879D0" w:rsidRDefault="00D879D0" w:rsidP="0044001A">
            <w:pPr>
              <w:pStyle w:val="ListParagraph"/>
              <w:ind w:left="0"/>
              <w:jc w:val="both"/>
            </w:pPr>
          </w:p>
        </w:tc>
        <w:tc>
          <w:tcPr>
            <w:tcW w:w="899" w:type="dxa"/>
          </w:tcPr>
          <w:p w:rsidR="00D879D0" w:rsidRDefault="003219C6" w:rsidP="0044001A">
            <w:pPr>
              <w:pStyle w:val="ListParagraph"/>
              <w:ind w:left="0"/>
              <w:jc w:val="both"/>
            </w:pPr>
            <w:r>
              <w:t>Private</w:t>
            </w:r>
          </w:p>
        </w:tc>
        <w:tc>
          <w:tcPr>
            <w:tcW w:w="625" w:type="dxa"/>
          </w:tcPr>
          <w:p w:rsidR="00D879D0" w:rsidRDefault="00D879D0" w:rsidP="0044001A">
            <w:pPr>
              <w:pStyle w:val="ListParagraph"/>
              <w:ind w:left="0"/>
              <w:jc w:val="both"/>
            </w:pPr>
          </w:p>
        </w:tc>
        <w:tc>
          <w:tcPr>
            <w:tcW w:w="824" w:type="dxa"/>
          </w:tcPr>
          <w:p w:rsidR="00D879D0" w:rsidRDefault="003219C6" w:rsidP="0044001A">
            <w:pPr>
              <w:pStyle w:val="ListParagraph"/>
              <w:ind w:left="0"/>
              <w:jc w:val="both"/>
            </w:pPr>
            <w:r>
              <w:t>Others</w:t>
            </w:r>
          </w:p>
        </w:tc>
        <w:tc>
          <w:tcPr>
            <w:tcW w:w="731" w:type="dxa"/>
          </w:tcPr>
          <w:p w:rsidR="00D879D0" w:rsidRDefault="00D879D0" w:rsidP="0044001A">
            <w:pPr>
              <w:pStyle w:val="ListParagraph"/>
              <w:ind w:left="0"/>
              <w:jc w:val="both"/>
            </w:pPr>
          </w:p>
        </w:tc>
      </w:tr>
      <w:tr w:rsidR="00D879D0" w:rsidTr="003219C6">
        <w:tblPrEx>
          <w:tblLook w:val="04A0" w:firstRow="1" w:lastRow="0" w:firstColumn="1" w:lastColumn="0" w:noHBand="0" w:noVBand="1"/>
        </w:tblPrEx>
        <w:trPr>
          <w:gridAfter w:val="1"/>
          <w:wAfter w:w="6" w:type="dxa"/>
        </w:trPr>
        <w:tc>
          <w:tcPr>
            <w:tcW w:w="3640" w:type="dxa"/>
          </w:tcPr>
          <w:p w:rsidR="00D879D0" w:rsidRDefault="00D879D0" w:rsidP="0044001A">
            <w:pPr>
              <w:pStyle w:val="ListParagraph"/>
              <w:ind w:left="0"/>
              <w:jc w:val="both"/>
            </w:pPr>
          </w:p>
        </w:tc>
        <w:tc>
          <w:tcPr>
            <w:tcW w:w="1072" w:type="dxa"/>
            <w:gridSpan w:val="2"/>
          </w:tcPr>
          <w:p w:rsidR="00D879D0" w:rsidRDefault="003219C6" w:rsidP="0044001A">
            <w:pPr>
              <w:pStyle w:val="ListParagraph"/>
              <w:ind w:left="0"/>
              <w:jc w:val="both"/>
            </w:pPr>
            <w:r>
              <w:t>No</w:t>
            </w:r>
          </w:p>
        </w:tc>
        <w:tc>
          <w:tcPr>
            <w:tcW w:w="1065" w:type="dxa"/>
          </w:tcPr>
          <w:p w:rsidR="00D879D0" w:rsidRDefault="003219C6" w:rsidP="0044001A">
            <w:pPr>
              <w:pStyle w:val="ListParagraph"/>
              <w:ind w:left="0"/>
              <w:jc w:val="both"/>
            </w:pPr>
            <w:r>
              <w:t>%</w:t>
            </w:r>
          </w:p>
        </w:tc>
        <w:tc>
          <w:tcPr>
            <w:tcW w:w="899" w:type="dxa"/>
          </w:tcPr>
          <w:p w:rsidR="00D879D0" w:rsidRDefault="003219C6" w:rsidP="0044001A">
            <w:pPr>
              <w:pStyle w:val="ListParagraph"/>
              <w:ind w:left="0"/>
              <w:jc w:val="both"/>
            </w:pPr>
            <w:r>
              <w:t>No</w:t>
            </w:r>
          </w:p>
        </w:tc>
        <w:tc>
          <w:tcPr>
            <w:tcW w:w="625" w:type="dxa"/>
          </w:tcPr>
          <w:p w:rsidR="00D879D0" w:rsidRDefault="003219C6" w:rsidP="0044001A">
            <w:pPr>
              <w:pStyle w:val="ListParagraph"/>
              <w:ind w:left="0"/>
              <w:jc w:val="both"/>
            </w:pPr>
            <w:r>
              <w:t>%</w:t>
            </w:r>
          </w:p>
        </w:tc>
        <w:tc>
          <w:tcPr>
            <w:tcW w:w="824" w:type="dxa"/>
          </w:tcPr>
          <w:p w:rsidR="00D879D0" w:rsidRDefault="003219C6" w:rsidP="0044001A">
            <w:pPr>
              <w:pStyle w:val="ListParagraph"/>
              <w:ind w:left="0"/>
              <w:jc w:val="both"/>
            </w:pPr>
            <w:r>
              <w:t>No</w:t>
            </w:r>
          </w:p>
        </w:tc>
        <w:tc>
          <w:tcPr>
            <w:tcW w:w="731" w:type="dxa"/>
          </w:tcPr>
          <w:p w:rsidR="00D879D0" w:rsidRDefault="003219C6" w:rsidP="0044001A">
            <w:pPr>
              <w:pStyle w:val="ListParagraph"/>
              <w:ind w:left="0"/>
              <w:jc w:val="both"/>
            </w:pPr>
            <w:r>
              <w:t>%</w:t>
            </w:r>
          </w:p>
        </w:tc>
      </w:tr>
      <w:tr w:rsidR="00D879D0" w:rsidTr="003219C6">
        <w:tblPrEx>
          <w:tblLook w:val="04A0" w:firstRow="1" w:lastRow="0" w:firstColumn="1" w:lastColumn="0" w:noHBand="0" w:noVBand="1"/>
        </w:tblPrEx>
        <w:trPr>
          <w:gridAfter w:val="1"/>
          <w:wAfter w:w="6" w:type="dxa"/>
        </w:trPr>
        <w:tc>
          <w:tcPr>
            <w:tcW w:w="3640" w:type="dxa"/>
          </w:tcPr>
          <w:p w:rsidR="00D879D0" w:rsidRDefault="003219C6" w:rsidP="0044001A">
            <w:pPr>
              <w:pStyle w:val="ListParagraph"/>
              <w:ind w:left="0"/>
              <w:jc w:val="both"/>
            </w:pPr>
            <w:r>
              <w:t>Policy Barriers and Gape</w:t>
            </w:r>
          </w:p>
        </w:tc>
        <w:tc>
          <w:tcPr>
            <w:tcW w:w="1072" w:type="dxa"/>
            <w:gridSpan w:val="2"/>
          </w:tcPr>
          <w:p w:rsidR="00D879D0" w:rsidRDefault="003219C6" w:rsidP="0044001A">
            <w:pPr>
              <w:pStyle w:val="ListParagraph"/>
              <w:ind w:left="0"/>
              <w:jc w:val="both"/>
            </w:pPr>
            <w:r>
              <w:t>5</w:t>
            </w:r>
          </w:p>
        </w:tc>
        <w:tc>
          <w:tcPr>
            <w:tcW w:w="1065" w:type="dxa"/>
          </w:tcPr>
          <w:p w:rsidR="00D879D0" w:rsidRDefault="003219C6" w:rsidP="0044001A">
            <w:pPr>
              <w:pStyle w:val="ListParagraph"/>
              <w:ind w:left="0"/>
              <w:jc w:val="both"/>
            </w:pPr>
            <w:r>
              <w:t>17</w:t>
            </w:r>
          </w:p>
        </w:tc>
        <w:tc>
          <w:tcPr>
            <w:tcW w:w="899" w:type="dxa"/>
          </w:tcPr>
          <w:p w:rsidR="00D879D0" w:rsidRDefault="003219C6" w:rsidP="0044001A">
            <w:pPr>
              <w:pStyle w:val="ListParagraph"/>
              <w:ind w:left="0"/>
              <w:jc w:val="both"/>
            </w:pPr>
            <w:r>
              <w:t>3</w:t>
            </w:r>
          </w:p>
        </w:tc>
        <w:tc>
          <w:tcPr>
            <w:tcW w:w="625" w:type="dxa"/>
          </w:tcPr>
          <w:p w:rsidR="00D879D0" w:rsidRDefault="003219C6" w:rsidP="0044001A">
            <w:pPr>
              <w:pStyle w:val="ListParagraph"/>
              <w:ind w:left="0"/>
              <w:jc w:val="both"/>
            </w:pPr>
            <w:r>
              <w:t>10</w:t>
            </w:r>
          </w:p>
        </w:tc>
        <w:tc>
          <w:tcPr>
            <w:tcW w:w="824" w:type="dxa"/>
          </w:tcPr>
          <w:p w:rsidR="00D879D0" w:rsidRDefault="003219C6" w:rsidP="0044001A">
            <w:pPr>
              <w:pStyle w:val="ListParagraph"/>
              <w:ind w:left="0"/>
              <w:jc w:val="both"/>
            </w:pPr>
            <w:r>
              <w:t>8</w:t>
            </w:r>
          </w:p>
        </w:tc>
        <w:tc>
          <w:tcPr>
            <w:tcW w:w="731" w:type="dxa"/>
          </w:tcPr>
          <w:p w:rsidR="00D879D0" w:rsidRDefault="003219C6" w:rsidP="0044001A">
            <w:pPr>
              <w:pStyle w:val="ListParagraph"/>
              <w:ind w:left="0"/>
              <w:jc w:val="both"/>
            </w:pPr>
            <w:r>
              <w:t>27</w:t>
            </w:r>
          </w:p>
        </w:tc>
      </w:tr>
      <w:tr w:rsidR="00D879D0" w:rsidTr="003219C6">
        <w:tblPrEx>
          <w:tblLook w:val="04A0" w:firstRow="1" w:lastRow="0" w:firstColumn="1" w:lastColumn="0" w:noHBand="0" w:noVBand="1"/>
        </w:tblPrEx>
        <w:trPr>
          <w:gridAfter w:val="1"/>
          <w:wAfter w:w="6" w:type="dxa"/>
        </w:trPr>
        <w:tc>
          <w:tcPr>
            <w:tcW w:w="3640" w:type="dxa"/>
          </w:tcPr>
          <w:p w:rsidR="00D879D0" w:rsidRDefault="003219C6" w:rsidP="0044001A">
            <w:pPr>
              <w:pStyle w:val="ListParagraph"/>
              <w:ind w:left="0"/>
              <w:jc w:val="both"/>
            </w:pPr>
            <w:r>
              <w:t>Project Financing Barriers  &amp; Gaps</w:t>
            </w:r>
          </w:p>
        </w:tc>
        <w:tc>
          <w:tcPr>
            <w:tcW w:w="1072" w:type="dxa"/>
            <w:gridSpan w:val="2"/>
          </w:tcPr>
          <w:p w:rsidR="00D879D0" w:rsidRDefault="003219C6" w:rsidP="0044001A">
            <w:pPr>
              <w:pStyle w:val="ListParagraph"/>
              <w:ind w:left="0"/>
              <w:jc w:val="both"/>
            </w:pPr>
            <w:r>
              <w:t>4</w:t>
            </w:r>
          </w:p>
        </w:tc>
        <w:tc>
          <w:tcPr>
            <w:tcW w:w="1065" w:type="dxa"/>
          </w:tcPr>
          <w:p w:rsidR="00D879D0" w:rsidRDefault="003219C6" w:rsidP="0044001A">
            <w:pPr>
              <w:pStyle w:val="ListParagraph"/>
              <w:ind w:left="0"/>
              <w:jc w:val="both"/>
            </w:pPr>
            <w:r>
              <w:t>13</w:t>
            </w:r>
          </w:p>
        </w:tc>
        <w:tc>
          <w:tcPr>
            <w:tcW w:w="899" w:type="dxa"/>
          </w:tcPr>
          <w:p w:rsidR="00D879D0" w:rsidRDefault="003219C6" w:rsidP="0044001A">
            <w:pPr>
              <w:pStyle w:val="ListParagraph"/>
              <w:ind w:left="0"/>
              <w:jc w:val="both"/>
            </w:pPr>
            <w:r>
              <w:t>12</w:t>
            </w:r>
          </w:p>
        </w:tc>
        <w:tc>
          <w:tcPr>
            <w:tcW w:w="625" w:type="dxa"/>
          </w:tcPr>
          <w:p w:rsidR="00D879D0" w:rsidRDefault="003219C6" w:rsidP="0044001A">
            <w:pPr>
              <w:pStyle w:val="ListParagraph"/>
              <w:ind w:left="0"/>
              <w:jc w:val="both"/>
            </w:pPr>
            <w:r>
              <w:t>40</w:t>
            </w:r>
          </w:p>
        </w:tc>
        <w:tc>
          <w:tcPr>
            <w:tcW w:w="824" w:type="dxa"/>
          </w:tcPr>
          <w:p w:rsidR="00D879D0" w:rsidRDefault="003219C6" w:rsidP="0044001A">
            <w:pPr>
              <w:pStyle w:val="ListParagraph"/>
              <w:ind w:left="0"/>
              <w:jc w:val="both"/>
            </w:pPr>
            <w:r>
              <w:t>5</w:t>
            </w:r>
          </w:p>
        </w:tc>
        <w:tc>
          <w:tcPr>
            <w:tcW w:w="731" w:type="dxa"/>
          </w:tcPr>
          <w:p w:rsidR="00D879D0" w:rsidRDefault="003219C6" w:rsidP="0044001A">
            <w:pPr>
              <w:pStyle w:val="ListParagraph"/>
              <w:ind w:left="0"/>
              <w:jc w:val="both"/>
            </w:pPr>
            <w:r>
              <w:t>17</w:t>
            </w:r>
          </w:p>
        </w:tc>
      </w:tr>
      <w:tr w:rsidR="00D879D0" w:rsidTr="003219C6">
        <w:tblPrEx>
          <w:tblLook w:val="04A0" w:firstRow="1" w:lastRow="0" w:firstColumn="1" w:lastColumn="0" w:noHBand="0" w:noVBand="1"/>
        </w:tblPrEx>
        <w:trPr>
          <w:gridAfter w:val="1"/>
          <w:wAfter w:w="6" w:type="dxa"/>
        </w:trPr>
        <w:tc>
          <w:tcPr>
            <w:tcW w:w="3640" w:type="dxa"/>
          </w:tcPr>
          <w:p w:rsidR="00D879D0" w:rsidRDefault="0090252B" w:rsidP="0044001A">
            <w:pPr>
              <w:pStyle w:val="ListParagraph"/>
              <w:ind w:left="0"/>
              <w:jc w:val="both"/>
            </w:pPr>
            <w:r>
              <w:t xml:space="preserve">Institutional </w:t>
            </w:r>
            <w:r w:rsidR="002244D3">
              <w:t>Barriers &amp; Gaps</w:t>
            </w:r>
          </w:p>
        </w:tc>
        <w:tc>
          <w:tcPr>
            <w:tcW w:w="1072" w:type="dxa"/>
            <w:gridSpan w:val="2"/>
          </w:tcPr>
          <w:p w:rsidR="00D879D0" w:rsidRDefault="002244D3" w:rsidP="0044001A">
            <w:pPr>
              <w:pStyle w:val="ListParagraph"/>
              <w:ind w:left="0"/>
              <w:jc w:val="both"/>
            </w:pPr>
            <w:r>
              <w:t>7</w:t>
            </w:r>
          </w:p>
        </w:tc>
        <w:tc>
          <w:tcPr>
            <w:tcW w:w="1065" w:type="dxa"/>
          </w:tcPr>
          <w:p w:rsidR="00D879D0" w:rsidRDefault="002244D3" w:rsidP="0044001A">
            <w:pPr>
              <w:pStyle w:val="ListParagraph"/>
              <w:ind w:left="0"/>
              <w:jc w:val="both"/>
            </w:pPr>
            <w:r>
              <w:t>23</w:t>
            </w:r>
          </w:p>
        </w:tc>
        <w:tc>
          <w:tcPr>
            <w:tcW w:w="899" w:type="dxa"/>
          </w:tcPr>
          <w:p w:rsidR="00D879D0" w:rsidRDefault="002244D3" w:rsidP="0044001A">
            <w:pPr>
              <w:pStyle w:val="ListParagraph"/>
              <w:ind w:left="0"/>
              <w:jc w:val="both"/>
            </w:pPr>
            <w:r>
              <w:t>12</w:t>
            </w:r>
          </w:p>
        </w:tc>
        <w:tc>
          <w:tcPr>
            <w:tcW w:w="625" w:type="dxa"/>
          </w:tcPr>
          <w:p w:rsidR="00D879D0" w:rsidRDefault="002244D3" w:rsidP="0044001A">
            <w:pPr>
              <w:pStyle w:val="ListParagraph"/>
              <w:ind w:left="0"/>
              <w:jc w:val="both"/>
            </w:pPr>
            <w:r>
              <w:t>40</w:t>
            </w:r>
          </w:p>
        </w:tc>
        <w:tc>
          <w:tcPr>
            <w:tcW w:w="824" w:type="dxa"/>
          </w:tcPr>
          <w:p w:rsidR="00D879D0" w:rsidRDefault="002244D3" w:rsidP="0044001A">
            <w:pPr>
              <w:pStyle w:val="ListParagraph"/>
              <w:ind w:left="0"/>
              <w:jc w:val="both"/>
            </w:pPr>
            <w:r>
              <w:t>5</w:t>
            </w:r>
          </w:p>
        </w:tc>
        <w:tc>
          <w:tcPr>
            <w:tcW w:w="731" w:type="dxa"/>
          </w:tcPr>
          <w:p w:rsidR="00D879D0" w:rsidRDefault="002244D3" w:rsidP="0044001A">
            <w:pPr>
              <w:pStyle w:val="ListParagraph"/>
              <w:ind w:left="0"/>
              <w:jc w:val="both"/>
            </w:pPr>
            <w:r>
              <w:t>17</w:t>
            </w:r>
          </w:p>
        </w:tc>
      </w:tr>
      <w:tr w:rsidR="00D879D0" w:rsidTr="003219C6">
        <w:tblPrEx>
          <w:tblLook w:val="04A0" w:firstRow="1" w:lastRow="0" w:firstColumn="1" w:lastColumn="0" w:noHBand="0" w:noVBand="1"/>
        </w:tblPrEx>
        <w:trPr>
          <w:gridAfter w:val="1"/>
          <w:wAfter w:w="6" w:type="dxa"/>
        </w:trPr>
        <w:tc>
          <w:tcPr>
            <w:tcW w:w="3640" w:type="dxa"/>
          </w:tcPr>
          <w:p w:rsidR="00D879D0" w:rsidRDefault="002244D3" w:rsidP="0044001A">
            <w:pPr>
              <w:pStyle w:val="ListParagraph"/>
              <w:ind w:left="0"/>
              <w:jc w:val="both"/>
            </w:pPr>
            <w:r>
              <w:t xml:space="preserve">Percentage (%) </w:t>
            </w:r>
            <w:proofErr w:type="spellStart"/>
            <w:r>
              <w:t>sectoral</w:t>
            </w:r>
            <w:proofErr w:type="spellEnd"/>
            <w:r>
              <w:t xml:space="preserve"> distribution</w:t>
            </w:r>
          </w:p>
        </w:tc>
        <w:tc>
          <w:tcPr>
            <w:tcW w:w="1072" w:type="dxa"/>
            <w:gridSpan w:val="2"/>
          </w:tcPr>
          <w:p w:rsidR="00D879D0" w:rsidRDefault="002244D3" w:rsidP="0044001A">
            <w:pPr>
              <w:pStyle w:val="ListParagraph"/>
              <w:ind w:left="0"/>
              <w:jc w:val="both"/>
            </w:pPr>
            <w:r>
              <w:t>16</w:t>
            </w:r>
          </w:p>
        </w:tc>
        <w:tc>
          <w:tcPr>
            <w:tcW w:w="1065" w:type="dxa"/>
          </w:tcPr>
          <w:p w:rsidR="00D879D0" w:rsidRDefault="002244D3" w:rsidP="0044001A">
            <w:pPr>
              <w:pStyle w:val="ListParagraph"/>
              <w:ind w:left="0"/>
              <w:jc w:val="both"/>
            </w:pPr>
            <w:r>
              <w:t>53</w:t>
            </w:r>
          </w:p>
        </w:tc>
        <w:tc>
          <w:tcPr>
            <w:tcW w:w="899" w:type="dxa"/>
          </w:tcPr>
          <w:p w:rsidR="00D879D0" w:rsidRDefault="002244D3" w:rsidP="0044001A">
            <w:pPr>
              <w:pStyle w:val="ListParagraph"/>
              <w:ind w:left="0"/>
              <w:jc w:val="both"/>
            </w:pPr>
            <w:r>
              <w:t>27</w:t>
            </w:r>
          </w:p>
        </w:tc>
        <w:tc>
          <w:tcPr>
            <w:tcW w:w="625" w:type="dxa"/>
          </w:tcPr>
          <w:p w:rsidR="00D879D0" w:rsidRDefault="002244D3" w:rsidP="0044001A">
            <w:pPr>
              <w:pStyle w:val="ListParagraph"/>
              <w:ind w:left="0"/>
              <w:jc w:val="both"/>
            </w:pPr>
            <w:r>
              <w:t>90</w:t>
            </w:r>
          </w:p>
        </w:tc>
        <w:tc>
          <w:tcPr>
            <w:tcW w:w="824" w:type="dxa"/>
          </w:tcPr>
          <w:p w:rsidR="00D879D0" w:rsidRDefault="002244D3" w:rsidP="0044001A">
            <w:pPr>
              <w:pStyle w:val="ListParagraph"/>
              <w:ind w:left="0"/>
              <w:jc w:val="both"/>
            </w:pPr>
            <w:r>
              <w:t>18</w:t>
            </w:r>
          </w:p>
        </w:tc>
        <w:tc>
          <w:tcPr>
            <w:tcW w:w="731" w:type="dxa"/>
          </w:tcPr>
          <w:p w:rsidR="00D879D0" w:rsidRDefault="002244D3" w:rsidP="0044001A">
            <w:pPr>
              <w:pStyle w:val="ListParagraph"/>
              <w:ind w:left="0"/>
              <w:jc w:val="both"/>
            </w:pPr>
            <w:r>
              <w:t>17</w:t>
            </w:r>
          </w:p>
        </w:tc>
      </w:tr>
    </w:tbl>
    <w:p w:rsidR="00D879D0" w:rsidRDefault="002244D3" w:rsidP="0044001A">
      <w:pPr>
        <w:pStyle w:val="ListParagraph"/>
        <w:jc w:val="both"/>
      </w:pPr>
      <w:r>
        <w:t xml:space="preserve">Source </w:t>
      </w:r>
      <w:proofErr w:type="spellStart"/>
      <w:r>
        <w:t>Mutevu</w:t>
      </w:r>
      <w:proofErr w:type="spellEnd"/>
      <w:r>
        <w:t xml:space="preserve">, 2010 </w:t>
      </w:r>
    </w:p>
    <w:p w:rsidR="00A2639C" w:rsidRDefault="00A2639C" w:rsidP="00A2639C">
      <w:pPr>
        <w:pStyle w:val="ListParagraph"/>
        <w:jc w:val="both"/>
      </w:pPr>
    </w:p>
    <w:p w:rsidR="00816354" w:rsidRDefault="00816354" w:rsidP="00A2639C">
      <w:pPr>
        <w:pStyle w:val="ListParagraph"/>
        <w:jc w:val="both"/>
      </w:pPr>
      <w:proofErr w:type="gramStart"/>
      <w:r>
        <w:t>Table 1.2.</w:t>
      </w:r>
      <w:proofErr w:type="gramEnd"/>
      <w:r>
        <w:t xml:space="preserve"> </w:t>
      </w:r>
      <w:r w:rsidR="008C47B1">
        <w:t xml:space="preserve"> S</w:t>
      </w:r>
      <w:r>
        <w:t xml:space="preserve">hows the greenhouse gases (Co2) emission abetment </w:t>
      </w:r>
      <w:r w:rsidR="008016B9">
        <w:t xml:space="preserve">in the Burkina </w:t>
      </w:r>
      <w:proofErr w:type="spellStart"/>
      <w:r w:rsidR="008016B9">
        <w:t>Fa</w:t>
      </w:r>
      <w:r w:rsidR="008C47B1">
        <w:t>rso</w:t>
      </w:r>
      <w:proofErr w:type="spellEnd"/>
      <w:r w:rsidR="008C47B1">
        <w:t xml:space="preserve"> case study that could be converted in a similar CDM project</w:t>
      </w:r>
    </w:p>
    <w:tbl>
      <w:tblPr>
        <w:tblStyle w:val="TableGrid"/>
        <w:tblW w:w="0" w:type="auto"/>
        <w:tblInd w:w="720" w:type="dxa"/>
        <w:tblLook w:val="04A0" w:firstRow="1" w:lastRow="0" w:firstColumn="1" w:lastColumn="0" w:noHBand="0" w:noVBand="1"/>
      </w:tblPr>
      <w:tblGrid>
        <w:gridCol w:w="2448"/>
        <w:gridCol w:w="1154"/>
        <w:gridCol w:w="1006"/>
        <w:gridCol w:w="1260"/>
        <w:gridCol w:w="1476"/>
        <w:gridCol w:w="1512"/>
      </w:tblGrid>
      <w:tr w:rsidR="0007531B" w:rsidTr="0007531B">
        <w:tc>
          <w:tcPr>
            <w:tcW w:w="2448" w:type="dxa"/>
          </w:tcPr>
          <w:p w:rsidR="00816354" w:rsidRDefault="00816354" w:rsidP="00A2639C">
            <w:pPr>
              <w:pStyle w:val="ListParagraph"/>
              <w:ind w:left="0"/>
              <w:jc w:val="both"/>
            </w:pPr>
            <w:r>
              <w:t>Component</w:t>
            </w:r>
          </w:p>
        </w:tc>
        <w:tc>
          <w:tcPr>
            <w:tcW w:w="1154" w:type="dxa"/>
          </w:tcPr>
          <w:p w:rsidR="00816354" w:rsidRDefault="00816354" w:rsidP="00A2639C">
            <w:pPr>
              <w:pStyle w:val="ListParagraph"/>
              <w:ind w:left="0"/>
              <w:jc w:val="both"/>
            </w:pPr>
            <w:r>
              <w:t>Cost (US$)</w:t>
            </w:r>
          </w:p>
        </w:tc>
        <w:tc>
          <w:tcPr>
            <w:tcW w:w="1006" w:type="dxa"/>
          </w:tcPr>
          <w:p w:rsidR="00816354" w:rsidRDefault="00816354" w:rsidP="00A2639C">
            <w:pPr>
              <w:pStyle w:val="ListParagraph"/>
              <w:ind w:left="0"/>
              <w:jc w:val="both"/>
            </w:pPr>
            <w:r>
              <w:t>Co2 emission</w:t>
            </w:r>
          </w:p>
          <w:p w:rsidR="0007531B" w:rsidRDefault="0007531B" w:rsidP="00A2639C">
            <w:pPr>
              <w:pStyle w:val="ListParagraph"/>
              <w:ind w:left="0"/>
              <w:jc w:val="both"/>
            </w:pPr>
            <w:r>
              <w:t>6years</w:t>
            </w:r>
          </w:p>
        </w:tc>
        <w:tc>
          <w:tcPr>
            <w:tcW w:w="1260" w:type="dxa"/>
          </w:tcPr>
          <w:p w:rsidR="00816354" w:rsidRDefault="00816354" w:rsidP="00A2639C">
            <w:pPr>
              <w:pStyle w:val="ListParagraph"/>
              <w:ind w:left="0"/>
              <w:jc w:val="both"/>
            </w:pPr>
            <w:r>
              <w:t>Abatement</w:t>
            </w:r>
          </w:p>
          <w:p w:rsidR="0007531B" w:rsidRDefault="0007531B" w:rsidP="00A2639C">
            <w:pPr>
              <w:pStyle w:val="ListParagraph"/>
              <w:ind w:left="0"/>
              <w:jc w:val="both"/>
            </w:pPr>
          </w:p>
          <w:p w:rsidR="0007531B" w:rsidRDefault="0007531B" w:rsidP="00A2639C">
            <w:pPr>
              <w:pStyle w:val="ListParagraph"/>
              <w:ind w:left="0"/>
              <w:jc w:val="both"/>
            </w:pPr>
            <w:r>
              <w:t>30 years</w:t>
            </w:r>
          </w:p>
        </w:tc>
        <w:tc>
          <w:tcPr>
            <w:tcW w:w="1476" w:type="dxa"/>
          </w:tcPr>
          <w:p w:rsidR="00816354" w:rsidRDefault="0007531B" w:rsidP="00A2639C">
            <w:pPr>
              <w:pStyle w:val="ListParagraph"/>
              <w:ind w:left="0"/>
              <w:jc w:val="both"/>
            </w:pPr>
            <w:r>
              <w:t>Unit aba</w:t>
            </w:r>
            <w:r w:rsidR="00816354">
              <w:t>tement cost</w:t>
            </w:r>
            <w:r>
              <w:t xml:space="preserve"> (6 years)</w:t>
            </w:r>
          </w:p>
        </w:tc>
        <w:tc>
          <w:tcPr>
            <w:tcW w:w="1512" w:type="dxa"/>
          </w:tcPr>
          <w:p w:rsidR="00816354" w:rsidRDefault="0007531B" w:rsidP="00A2639C">
            <w:pPr>
              <w:pStyle w:val="ListParagraph"/>
              <w:ind w:left="0"/>
              <w:jc w:val="both"/>
            </w:pPr>
            <w:r>
              <w:t>Unit abatement. Cost (30 years</w:t>
            </w:r>
          </w:p>
        </w:tc>
      </w:tr>
      <w:tr w:rsidR="0007531B" w:rsidTr="0007531B">
        <w:tc>
          <w:tcPr>
            <w:tcW w:w="2448" w:type="dxa"/>
          </w:tcPr>
          <w:p w:rsidR="00816354" w:rsidRDefault="0007531B" w:rsidP="00A2639C">
            <w:pPr>
              <w:pStyle w:val="ListParagraph"/>
              <w:ind w:left="0"/>
              <w:jc w:val="both"/>
            </w:pPr>
            <w:r>
              <w:t>Improved carbonization</w:t>
            </w:r>
          </w:p>
        </w:tc>
        <w:tc>
          <w:tcPr>
            <w:tcW w:w="1154" w:type="dxa"/>
          </w:tcPr>
          <w:p w:rsidR="00816354" w:rsidRDefault="0007531B" w:rsidP="00A2639C">
            <w:pPr>
              <w:pStyle w:val="ListParagraph"/>
              <w:ind w:left="0"/>
              <w:jc w:val="both"/>
            </w:pPr>
            <w:r>
              <w:t>650,000</w:t>
            </w:r>
          </w:p>
        </w:tc>
        <w:tc>
          <w:tcPr>
            <w:tcW w:w="1006" w:type="dxa"/>
          </w:tcPr>
          <w:p w:rsidR="00816354" w:rsidRDefault="0007531B" w:rsidP="00A2639C">
            <w:pPr>
              <w:pStyle w:val="ListParagraph"/>
              <w:ind w:left="0"/>
              <w:jc w:val="both"/>
            </w:pPr>
            <w:r>
              <w:t>916</w:t>
            </w:r>
          </w:p>
        </w:tc>
        <w:tc>
          <w:tcPr>
            <w:tcW w:w="1260" w:type="dxa"/>
          </w:tcPr>
          <w:p w:rsidR="00816354" w:rsidRDefault="0007531B" w:rsidP="00A2639C">
            <w:pPr>
              <w:pStyle w:val="ListParagraph"/>
              <w:ind w:left="0"/>
              <w:jc w:val="both"/>
            </w:pPr>
            <w:r>
              <w:t>15,170</w:t>
            </w:r>
          </w:p>
        </w:tc>
        <w:tc>
          <w:tcPr>
            <w:tcW w:w="1476" w:type="dxa"/>
          </w:tcPr>
          <w:p w:rsidR="00816354" w:rsidRDefault="0007531B" w:rsidP="00A2639C">
            <w:pPr>
              <w:pStyle w:val="ListParagraph"/>
              <w:ind w:left="0"/>
              <w:jc w:val="both"/>
            </w:pPr>
            <w:r>
              <w:t>0.71</w:t>
            </w:r>
          </w:p>
        </w:tc>
        <w:tc>
          <w:tcPr>
            <w:tcW w:w="1512" w:type="dxa"/>
          </w:tcPr>
          <w:p w:rsidR="00816354" w:rsidRDefault="0007531B" w:rsidP="00A2639C">
            <w:pPr>
              <w:pStyle w:val="ListParagraph"/>
              <w:ind w:left="0"/>
              <w:jc w:val="both"/>
            </w:pPr>
            <w:r>
              <w:t>0.04</w:t>
            </w:r>
          </w:p>
        </w:tc>
      </w:tr>
      <w:tr w:rsidR="0007531B" w:rsidTr="0007531B">
        <w:tc>
          <w:tcPr>
            <w:tcW w:w="2448" w:type="dxa"/>
          </w:tcPr>
          <w:p w:rsidR="00816354" w:rsidRDefault="0007531B" w:rsidP="00A2639C">
            <w:pPr>
              <w:pStyle w:val="ListParagraph"/>
              <w:ind w:left="0"/>
              <w:jc w:val="both"/>
            </w:pPr>
            <w:r>
              <w:t>Sustainable forest management</w:t>
            </w:r>
          </w:p>
        </w:tc>
        <w:tc>
          <w:tcPr>
            <w:tcW w:w="1154" w:type="dxa"/>
          </w:tcPr>
          <w:p w:rsidR="00816354" w:rsidRDefault="0007531B" w:rsidP="00A2639C">
            <w:pPr>
              <w:pStyle w:val="ListParagraph"/>
              <w:ind w:left="0"/>
              <w:jc w:val="both"/>
            </w:pPr>
            <w:r>
              <w:t>970,000</w:t>
            </w:r>
          </w:p>
        </w:tc>
        <w:tc>
          <w:tcPr>
            <w:tcW w:w="1006" w:type="dxa"/>
          </w:tcPr>
          <w:p w:rsidR="00816354" w:rsidRDefault="0007531B" w:rsidP="00A2639C">
            <w:pPr>
              <w:pStyle w:val="ListParagraph"/>
              <w:ind w:left="0"/>
              <w:jc w:val="both"/>
            </w:pPr>
            <w:r>
              <w:t>245</w:t>
            </w:r>
          </w:p>
        </w:tc>
        <w:tc>
          <w:tcPr>
            <w:tcW w:w="1260" w:type="dxa"/>
          </w:tcPr>
          <w:p w:rsidR="00816354" w:rsidRDefault="0007531B" w:rsidP="00A2639C">
            <w:pPr>
              <w:pStyle w:val="ListParagraph"/>
              <w:ind w:left="0"/>
              <w:jc w:val="both"/>
            </w:pPr>
            <w:r>
              <w:t>3,825</w:t>
            </w:r>
          </w:p>
        </w:tc>
        <w:tc>
          <w:tcPr>
            <w:tcW w:w="1476" w:type="dxa"/>
          </w:tcPr>
          <w:p w:rsidR="00816354" w:rsidRDefault="0007531B" w:rsidP="00A2639C">
            <w:pPr>
              <w:pStyle w:val="ListParagraph"/>
              <w:ind w:left="0"/>
              <w:jc w:val="both"/>
            </w:pPr>
            <w:r>
              <w:t>3.96</w:t>
            </w:r>
          </w:p>
        </w:tc>
        <w:tc>
          <w:tcPr>
            <w:tcW w:w="1512" w:type="dxa"/>
          </w:tcPr>
          <w:p w:rsidR="00816354" w:rsidRDefault="0007531B" w:rsidP="00A2639C">
            <w:pPr>
              <w:pStyle w:val="ListParagraph"/>
              <w:ind w:left="0"/>
              <w:jc w:val="both"/>
            </w:pPr>
            <w:r>
              <w:t>0.25</w:t>
            </w:r>
          </w:p>
        </w:tc>
      </w:tr>
      <w:tr w:rsidR="0007531B" w:rsidTr="0007531B">
        <w:tc>
          <w:tcPr>
            <w:tcW w:w="2448" w:type="dxa"/>
          </w:tcPr>
          <w:p w:rsidR="00816354" w:rsidRDefault="008C47B1" w:rsidP="00A2639C">
            <w:pPr>
              <w:pStyle w:val="ListParagraph"/>
              <w:ind w:left="0"/>
              <w:jc w:val="both"/>
            </w:pPr>
            <w:r>
              <w:t>Kerosene Stoves</w:t>
            </w:r>
          </w:p>
        </w:tc>
        <w:tc>
          <w:tcPr>
            <w:tcW w:w="1154" w:type="dxa"/>
          </w:tcPr>
          <w:p w:rsidR="00816354" w:rsidRDefault="008C47B1" w:rsidP="00A2639C">
            <w:pPr>
              <w:pStyle w:val="ListParagraph"/>
              <w:ind w:left="0"/>
              <w:jc w:val="both"/>
            </w:pPr>
            <w:r>
              <w:t>500,000</w:t>
            </w:r>
          </w:p>
        </w:tc>
        <w:tc>
          <w:tcPr>
            <w:tcW w:w="1006" w:type="dxa"/>
          </w:tcPr>
          <w:p w:rsidR="00816354" w:rsidRDefault="008C47B1" w:rsidP="00A2639C">
            <w:pPr>
              <w:pStyle w:val="ListParagraph"/>
              <w:ind w:left="0"/>
              <w:jc w:val="both"/>
            </w:pPr>
            <w:r>
              <w:t>271</w:t>
            </w:r>
          </w:p>
        </w:tc>
        <w:tc>
          <w:tcPr>
            <w:tcW w:w="1260" w:type="dxa"/>
          </w:tcPr>
          <w:p w:rsidR="00816354" w:rsidRDefault="008C47B1" w:rsidP="00A2639C">
            <w:pPr>
              <w:pStyle w:val="ListParagraph"/>
              <w:ind w:left="0"/>
              <w:jc w:val="both"/>
            </w:pPr>
            <w:r>
              <w:t>6,006</w:t>
            </w:r>
          </w:p>
        </w:tc>
        <w:tc>
          <w:tcPr>
            <w:tcW w:w="1476" w:type="dxa"/>
          </w:tcPr>
          <w:p w:rsidR="00816354" w:rsidRDefault="008C47B1" w:rsidP="00A2639C">
            <w:pPr>
              <w:pStyle w:val="ListParagraph"/>
              <w:ind w:left="0"/>
              <w:jc w:val="both"/>
            </w:pPr>
            <w:r>
              <w:t>1.84</w:t>
            </w:r>
          </w:p>
        </w:tc>
        <w:tc>
          <w:tcPr>
            <w:tcW w:w="1512" w:type="dxa"/>
          </w:tcPr>
          <w:p w:rsidR="00816354" w:rsidRDefault="008C47B1" w:rsidP="00A2639C">
            <w:pPr>
              <w:pStyle w:val="ListParagraph"/>
              <w:ind w:left="0"/>
              <w:jc w:val="both"/>
            </w:pPr>
            <w:r>
              <w:t>0.08</w:t>
            </w:r>
          </w:p>
        </w:tc>
      </w:tr>
      <w:tr w:rsidR="0007531B" w:rsidTr="0007531B">
        <w:tc>
          <w:tcPr>
            <w:tcW w:w="2448" w:type="dxa"/>
          </w:tcPr>
          <w:p w:rsidR="00816354" w:rsidRDefault="008C47B1" w:rsidP="00A2639C">
            <w:pPr>
              <w:pStyle w:val="ListParagraph"/>
              <w:ind w:left="0"/>
              <w:jc w:val="both"/>
            </w:pPr>
            <w:r>
              <w:t>Solar Units</w:t>
            </w:r>
          </w:p>
        </w:tc>
        <w:tc>
          <w:tcPr>
            <w:tcW w:w="1154" w:type="dxa"/>
          </w:tcPr>
          <w:p w:rsidR="00816354" w:rsidRDefault="00A73BFC" w:rsidP="00A2639C">
            <w:pPr>
              <w:pStyle w:val="ListParagraph"/>
              <w:ind w:left="0"/>
              <w:jc w:val="both"/>
            </w:pPr>
            <w:r>
              <w:t>280,00</w:t>
            </w:r>
          </w:p>
        </w:tc>
        <w:tc>
          <w:tcPr>
            <w:tcW w:w="1006" w:type="dxa"/>
          </w:tcPr>
          <w:p w:rsidR="00816354" w:rsidRDefault="00A73BFC" w:rsidP="00A2639C">
            <w:pPr>
              <w:pStyle w:val="ListParagraph"/>
              <w:ind w:left="0"/>
              <w:jc w:val="both"/>
            </w:pPr>
            <w:r>
              <w:t>18</w:t>
            </w:r>
          </w:p>
        </w:tc>
        <w:tc>
          <w:tcPr>
            <w:tcW w:w="1260" w:type="dxa"/>
          </w:tcPr>
          <w:p w:rsidR="00816354" w:rsidRDefault="00A73BFC" w:rsidP="00A2639C">
            <w:pPr>
              <w:pStyle w:val="ListParagraph"/>
              <w:ind w:left="0"/>
              <w:jc w:val="both"/>
            </w:pPr>
            <w:r>
              <w:t>163</w:t>
            </w:r>
          </w:p>
        </w:tc>
        <w:tc>
          <w:tcPr>
            <w:tcW w:w="1476" w:type="dxa"/>
          </w:tcPr>
          <w:p w:rsidR="00816354" w:rsidRDefault="00A73BFC" w:rsidP="00A2639C">
            <w:pPr>
              <w:pStyle w:val="ListParagraph"/>
              <w:ind w:left="0"/>
              <w:jc w:val="both"/>
            </w:pPr>
            <w:r>
              <w:t>15.49</w:t>
            </w:r>
          </w:p>
        </w:tc>
        <w:tc>
          <w:tcPr>
            <w:tcW w:w="1512" w:type="dxa"/>
          </w:tcPr>
          <w:p w:rsidR="00816354" w:rsidRDefault="00A73BFC" w:rsidP="00A2639C">
            <w:pPr>
              <w:pStyle w:val="ListParagraph"/>
              <w:ind w:left="0"/>
              <w:jc w:val="both"/>
            </w:pPr>
            <w:r>
              <w:t>1.72</w:t>
            </w:r>
          </w:p>
        </w:tc>
      </w:tr>
      <w:tr w:rsidR="0007531B" w:rsidTr="0007531B">
        <w:tc>
          <w:tcPr>
            <w:tcW w:w="2448" w:type="dxa"/>
          </w:tcPr>
          <w:p w:rsidR="00816354" w:rsidRDefault="00A73BFC" w:rsidP="00A2639C">
            <w:pPr>
              <w:pStyle w:val="ListParagraph"/>
              <w:ind w:left="0"/>
              <w:jc w:val="both"/>
            </w:pPr>
            <w:r>
              <w:t xml:space="preserve">Total </w:t>
            </w:r>
          </w:p>
        </w:tc>
        <w:tc>
          <w:tcPr>
            <w:tcW w:w="1154" w:type="dxa"/>
          </w:tcPr>
          <w:p w:rsidR="00816354" w:rsidRDefault="00A73BFC" w:rsidP="00A2639C">
            <w:pPr>
              <w:pStyle w:val="ListParagraph"/>
              <w:ind w:left="0"/>
              <w:jc w:val="both"/>
            </w:pPr>
            <w:r>
              <w:t>2,500,000</w:t>
            </w:r>
          </w:p>
        </w:tc>
        <w:tc>
          <w:tcPr>
            <w:tcW w:w="1006" w:type="dxa"/>
          </w:tcPr>
          <w:p w:rsidR="00816354" w:rsidRDefault="00A73BFC" w:rsidP="00A2639C">
            <w:pPr>
              <w:pStyle w:val="ListParagraph"/>
              <w:ind w:left="0"/>
              <w:jc w:val="both"/>
            </w:pPr>
            <w:r>
              <w:t>1,450</w:t>
            </w:r>
          </w:p>
        </w:tc>
        <w:tc>
          <w:tcPr>
            <w:tcW w:w="1260" w:type="dxa"/>
          </w:tcPr>
          <w:p w:rsidR="00816354" w:rsidRDefault="00A73BFC" w:rsidP="00A2639C">
            <w:pPr>
              <w:pStyle w:val="ListParagraph"/>
              <w:ind w:left="0"/>
              <w:jc w:val="both"/>
            </w:pPr>
            <w:r>
              <w:t>25,164</w:t>
            </w:r>
          </w:p>
        </w:tc>
        <w:tc>
          <w:tcPr>
            <w:tcW w:w="1476" w:type="dxa"/>
          </w:tcPr>
          <w:p w:rsidR="00816354" w:rsidRDefault="00A73BFC" w:rsidP="00A2639C">
            <w:pPr>
              <w:pStyle w:val="ListParagraph"/>
              <w:ind w:left="0"/>
              <w:jc w:val="both"/>
            </w:pPr>
            <w:r>
              <w:t>1.66</w:t>
            </w:r>
          </w:p>
        </w:tc>
        <w:tc>
          <w:tcPr>
            <w:tcW w:w="1512" w:type="dxa"/>
          </w:tcPr>
          <w:p w:rsidR="00816354" w:rsidRDefault="00A73BFC" w:rsidP="00A2639C">
            <w:pPr>
              <w:pStyle w:val="ListParagraph"/>
              <w:ind w:left="0"/>
              <w:jc w:val="both"/>
            </w:pPr>
            <w:r>
              <w:t>0.10</w:t>
            </w:r>
          </w:p>
        </w:tc>
      </w:tr>
      <w:tr w:rsidR="0007531B" w:rsidTr="0007531B">
        <w:tc>
          <w:tcPr>
            <w:tcW w:w="2448" w:type="dxa"/>
          </w:tcPr>
          <w:p w:rsidR="00816354" w:rsidRDefault="00816354" w:rsidP="00A2639C">
            <w:pPr>
              <w:pStyle w:val="ListParagraph"/>
              <w:ind w:left="0"/>
              <w:jc w:val="both"/>
            </w:pPr>
          </w:p>
        </w:tc>
        <w:tc>
          <w:tcPr>
            <w:tcW w:w="1154" w:type="dxa"/>
          </w:tcPr>
          <w:p w:rsidR="00816354" w:rsidRDefault="00816354" w:rsidP="00A2639C">
            <w:pPr>
              <w:pStyle w:val="ListParagraph"/>
              <w:ind w:left="0"/>
              <w:jc w:val="both"/>
            </w:pPr>
          </w:p>
        </w:tc>
        <w:tc>
          <w:tcPr>
            <w:tcW w:w="1006" w:type="dxa"/>
          </w:tcPr>
          <w:p w:rsidR="00816354" w:rsidRDefault="00816354" w:rsidP="00A2639C">
            <w:pPr>
              <w:pStyle w:val="ListParagraph"/>
              <w:ind w:left="0"/>
              <w:jc w:val="both"/>
            </w:pPr>
          </w:p>
        </w:tc>
        <w:tc>
          <w:tcPr>
            <w:tcW w:w="1260" w:type="dxa"/>
          </w:tcPr>
          <w:p w:rsidR="00816354" w:rsidRDefault="00816354" w:rsidP="00A2639C">
            <w:pPr>
              <w:pStyle w:val="ListParagraph"/>
              <w:ind w:left="0"/>
              <w:jc w:val="both"/>
            </w:pPr>
          </w:p>
        </w:tc>
        <w:tc>
          <w:tcPr>
            <w:tcW w:w="1476" w:type="dxa"/>
          </w:tcPr>
          <w:p w:rsidR="00816354" w:rsidRDefault="00816354" w:rsidP="00A2639C">
            <w:pPr>
              <w:pStyle w:val="ListParagraph"/>
              <w:ind w:left="0"/>
              <w:jc w:val="both"/>
            </w:pPr>
          </w:p>
        </w:tc>
        <w:tc>
          <w:tcPr>
            <w:tcW w:w="1512" w:type="dxa"/>
          </w:tcPr>
          <w:p w:rsidR="00816354" w:rsidRDefault="00816354" w:rsidP="00A2639C">
            <w:pPr>
              <w:pStyle w:val="ListParagraph"/>
              <w:ind w:left="0"/>
              <w:jc w:val="both"/>
            </w:pPr>
          </w:p>
        </w:tc>
      </w:tr>
    </w:tbl>
    <w:p w:rsidR="00816354" w:rsidRDefault="00A73BFC" w:rsidP="00A2639C">
      <w:pPr>
        <w:pStyle w:val="ListParagraph"/>
        <w:jc w:val="both"/>
      </w:pPr>
      <w:r>
        <w:t>Source: World Bank, CDM in Developing countries, Global Division, 2000</w:t>
      </w:r>
      <w:r w:rsidR="00F56DD9">
        <w:t xml:space="preserve">. </w:t>
      </w:r>
      <w:proofErr w:type="gramStart"/>
      <w:r w:rsidR="00F56DD9">
        <w:t>Presented in Climate Network Africa, 2006.</w:t>
      </w:r>
      <w:proofErr w:type="gramEnd"/>
    </w:p>
    <w:p w:rsidR="00A2639C" w:rsidRDefault="00816354" w:rsidP="00A2639C">
      <w:pPr>
        <w:pStyle w:val="ListParagraph"/>
        <w:jc w:val="both"/>
      </w:pPr>
      <w:r>
        <w:t xml:space="preserve"> </w:t>
      </w:r>
    </w:p>
    <w:p w:rsidR="00C97C99" w:rsidRDefault="00C97C99" w:rsidP="00C97C99">
      <w:pPr>
        <w:ind w:left="720" w:hanging="720"/>
        <w:jc w:val="both"/>
      </w:pPr>
      <w:r>
        <w:lastRenderedPageBreak/>
        <w:t xml:space="preserve">              </w:t>
      </w:r>
      <w:r w:rsidR="00F56DD9">
        <w:t xml:space="preserve">The overall objective of the Burkina </w:t>
      </w:r>
      <w:proofErr w:type="spellStart"/>
      <w:r w:rsidR="00F56DD9">
        <w:t>Farso</w:t>
      </w:r>
      <w:proofErr w:type="spellEnd"/>
      <w:r w:rsidR="00F56DD9">
        <w:t xml:space="preserve"> project was to </w:t>
      </w:r>
      <w:r w:rsidR="006344CE">
        <w:t>contribute to meeting the rapid</w:t>
      </w:r>
      <w:r>
        <w:t xml:space="preserve">ly growing </w:t>
      </w:r>
      <w:r w:rsidR="00F56DD9">
        <w:t>urban demand for household fuels without further loss</w:t>
      </w:r>
      <w:r w:rsidR="00E62E48">
        <w:t xml:space="preserve"> of forest cover or loss of ecosystem’s carbon sequestration potential (Climate Netwo</w:t>
      </w:r>
      <w:r w:rsidR="00224D40">
        <w:t xml:space="preserve">rk Africa, 2006). The Burkina </w:t>
      </w:r>
      <w:proofErr w:type="spellStart"/>
      <w:r w:rsidR="00224D40">
        <w:t>Fars</w:t>
      </w:r>
      <w:r w:rsidR="00E62E48">
        <w:t>o</w:t>
      </w:r>
      <w:proofErr w:type="spellEnd"/>
      <w:r w:rsidR="00E62E48">
        <w:t xml:space="preserve"> </w:t>
      </w:r>
      <w:r w:rsidR="00224D40">
        <w:t>project was co-financed and supported by the AIJ- Activities</w:t>
      </w:r>
      <w:r w:rsidR="00E6753C">
        <w:t xml:space="preserve"> implemented</w:t>
      </w:r>
      <w:r w:rsidR="00224D40">
        <w:t xml:space="preserve"> </w:t>
      </w:r>
      <w:proofErr w:type="gramStart"/>
      <w:r w:rsidR="00224D40">
        <w:t>Jointly</w:t>
      </w:r>
      <w:proofErr w:type="gramEnd"/>
      <w:r w:rsidR="00224D40">
        <w:t xml:space="preserve"> component at $2.5 million for the purpose of development of low carbon and non-carbon energy sources. According the World Bank, NSS study, 2000, estimates </w:t>
      </w:r>
      <w:r w:rsidR="00E6753C">
        <w:t>this was equivalent to preventing the leveling of 130,000 tons of wood for charcoal burning. It also opened expanded and strengthened the market for non-carbon sources of energy and contributed to 300,000 tons of Co2 emissions per year.</w:t>
      </w:r>
      <w:r w:rsidR="006C5A2E">
        <w:t xml:space="preserve"> Over a period of five years the project was expected to produce an estimated an estimated 1.5 million tons of carbon. </w:t>
      </w:r>
    </w:p>
    <w:p w:rsidR="008F12CB" w:rsidRDefault="006C5A2E" w:rsidP="00C97C99">
      <w:pPr>
        <w:ind w:left="720"/>
        <w:jc w:val="both"/>
      </w:pPr>
      <w:proofErr w:type="gramStart"/>
      <w:r>
        <w:t>Table 1.2.</w:t>
      </w:r>
      <w:proofErr w:type="gramEnd"/>
      <w:r>
        <w:t xml:space="preserve">  </w:t>
      </w:r>
      <w:proofErr w:type="gramStart"/>
      <w:r>
        <w:t xml:space="preserve">Shows the greenhouse gases (Co2) emission abetment in the Burkina </w:t>
      </w:r>
      <w:proofErr w:type="spellStart"/>
      <w:r>
        <w:t>Furso</w:t>
      </w:r>
      <w:proofErr w:type="spellEnd"/>
      <w:r>
        <w:t xml:space="preserve"> case study that could be converted in a similar CDM project.</w:t>
      </w:r>
      <w:proofErr w:type="gramEnd"/>
      <w:r w:rsidR="00C97C99">
        <w:t xml:space="preserve"> The Burkina </w:t>
      </w:r>
      <w:proofErr w:type="spellStart"/>
      <w:r w:rsidR="00C97C99">
        <w:t>Farso</w:t>
      </w:r>
      <w:proofErr w:type="spellEnd"/>
      <w:r w:rsidR="00C97C99">
        <w:t xml:space="preserve"> example emphasizes the areas for CDM investment in Africa, namely</w:t>
      </w:r>
      <w:r w:rsidR="00BB4D99">
        <w:t xml:space="preserve"> sustainable forestry management and</w:t>
      </w:r>
      <w:r w:rsidR="00C97C99">
        <w:t xml:space="preserve"> renewable energy</w:t>
      </w:r>
      <w:r w:rsidR="00BB4D99">
        <w:t xml:space="preserve"> </w:t>
      </w:r>
      <w:r w:rsidR="00C97C99">
        <w:t>(especially Solar Energy and Bio-energy)</w:t>
      </w:r>
      <w:r w:rsidR="00BB4D99">
        <w:t>, and their</w:t>
      </w:r>
      <w:r w:rsidR="00022F9A">
        <w:t xml:space="preserve"> various linkages with</w:t>
      </w:r>
      <w:r w:rsidR="00C97C99">
        <w:t xml:space="preserve"> Sustainable Development</w:t>
      </w:r>
      <w:r w:rsidR="00BB4D99">
        <w:t xml:space="preserve">. </w:t>
      </w:r>
      <w:r w:rsidR="00022F9A">
        <w:t xml:space="preserve"> </w:t>
      </w:r>
      <w:r w:rsidR="00A55FFA">
        <w:t xml:space="preserve">According to Kenya’s Least Cost Power Development Plan (LCPDP), biomass including wood fuel, charcoal, and agricultural waste accounts for 75% of the total energy consumption </w:t>
      </w:r>
      <w:r w:rsidR="00A43F04">
        <w:t xml:space="preserve">by urban and rural populations </w:t>
      </w:r>
      <w:r w:rsidR="00A55FFA">
        <w:t>in Kenya (Ellis, et al, 2013)</w:t>
      </w:r>
      <w:r w:rsidR="00EF38E7">
        <w:t xml:space="preserve">. </w:t>
      </w:r>
      <w:r w:rsidR="00A55FFA">
        <w:t xml:space="preserve"> </w:t>
      </w:r>
    </w:p>
    <w:p w:rsidR="008F12CB" w:rsidRDefault="008F12CB" w:rsidP="00A2639C">
      <w:pPr>
        <w:pStyle w:val="ListParagraph"/>
        <w:jc w:val="both"/>
      </w:pPr>
    </w:p>
    <w:p w:rsidR="00054240" w:rsidRPr="005436D3" w:rsidRDefault="00054240" w:rsidP="00054240">
      <w:pPr>
        <w:pStyle w:val="ListParagraph"/>
        <w:numPr>
          <w:ilvl w:val="0"/>
          <w:numId w:val="2"/>
        </w:numPr>
        <w:jc w:val="both"/>
        <w:rPr>
          <w:b/>
        </w:rPr>
      </w:pPr>
      <w:r w:rsidRPr="005436D3">
        <w:rPr>
          <w:b/>
        </w:rPr>
        <w:t>Recommendations and areas for further study</w:t>
      </w:r>
      <w:r w:rsidR="00A2639C" w:rsidRPr="005436D3">
        <w:rPr>
          <w:b/>
        </w:rPr>
        <w:t>.</w:t>
      </w:r>
    </w:p>
    <w:p w:rsidR="00241799" w:rsidRDefault="00241799" w:rsidP="00241799">
      <w:pPr>
        <w:pStyle w:val="ListParagraph"/>
        <w:jc w:val="both"/>
      </w:pPr>
      <w:r>
        <w:t>The solutions proposed for Burkina Faso and Kenya in overcoming the impediments that hinter the implementation of CDM projects in Africa are given as- introduce efficient carbonization techniques, enhance community participation, create a black and white lists for approving CDM projects, promote in-country expert capacity building in CDM projects,  provide tax incentives to CDM investors, eliminate corruption by strictly enforcing the law, arresting and taking to court the corrupt individual people</w:t>
      </w:r>
      <w:r w:rsidR="00004EDC">
        <w:t>, develop less polluting industry and mining production methods and ecological restoration, promote forestry, reforestation and forest conservation, encourage  the importance of renewable energy sources and non- GHG emitting source of energy as well as the promotion of fuel substitution</w:t>
      </w:r>
      <w:r w:rsidR="008A78C9">
        <w:t xml:space="preserve">, promote fuel saving transportation options such as improved </w:t>
      </w:r>
      <w:r w:rsidR="00391054">
        <w:t xml:space="preserve">environmentally friendly </w:t>
      </w:r>
      <w:r w:rsidR="008A78C9">
        <w:t>technologies and more effective transportation systems.</w:t>
      </w:r>
      <w:r w:rsidR="00004EDC">
        <w:t xml:space="preserve"> </w:t>
      </w:r>
      <w:r w:rsidR="00391054">
        <w:t>CDM projects in recipient countries should contribute to poverty eradication, job creation and improved standard of living</w:t>
      </w:r>
    </w:p>
    <w:p w:rsidR="00A2639C" w:rsidRDefault="00A2639C" w:rsidP="00A2639C">
      <w:pPr>
        <w:pStyle w:val="ListParagraph"/>
        <w:jc w:val="both"/>
      </w:pPr>
    </w:p>
    <w:p w:rsidR="00054240" w:rsidRPr="005436D3" w:rsidRDefault="00054240" w:rsidP="00054240">
      <w:pPr>
        <w:pStyle w:val="ListParagraph"/>
        <w:numPr>
          <w:ilvl w:val="0"/>
          <w:numId w:val="2"/>
        </w:numPr>
        <w:jc w:val="both"/>
        <w:rPr>
          <w:b/>
        </w:rPr>
      </w:pPr>
      <w:r w:rsidRPr="005436D3">
        <w:rPr>
          <w:b/>
        </w:rPr>
        <w:t>Conclusions</w:t>
      </w:r>
      <w:r w:rsidR="00A2639C" w:rsidRPr="005436D3">
        <w:rPr>
          <w:b/>
        </w:rPr>
        <w:t>.</w:t>
      </w:r>
    </w:p>
    <w:p w:rsidR="00241799" w:rsidRDefault="00241799" w:rsidP="00241799">
      <w:pPr>
        <w:ind w:left="360"/>
        <w:jc w:val="both"/>
      </w:pPr>
      <w:r>
        <w:t>The findings of the studies done in Kenya, and Burkina Faso show the following factors to be hindering implementation of CDM:- policy barriers, project financing gaps, institutional barriers and gaps, lack of information and knowledge on CDM, government bureaucracy, corruption</w:t>
      </w:r>
      <w:r w:rsidR="00391054">
        <w:t xml:space="preserve">, poverty, joblessness </w:t>
      </w:r>
      <w:r>
        <w:t>and limited resources.</w:t>
      </w:r>
      <w:r w:rsidR="008A78C9">
        <w:t xml:space="preserve"> </w:t>
      </w:r>
      <w:r w:rsidR="00022F9A">
        <w:t xml:space="preserve">Another conclusion that can be drawn from the two study cases is that CDN project should be compatible with and supportive of national and development priorities and strategies, contribute to cost-effectiveness in achieving global benefits and endeavor to address all relevant sources, sinks, and reservoirs of greenhouse gases. </w:t>
      </w:r>
    </w:p>
    <w:p w:rsidR="00A2639C" w:rsidRDefault="00A2639C" w:rsidP="00A2639C">
      <w:pPr>
        <w:pStyle w:val="ListParagraph"/>
      </w:pPr>
    </w:p>
    <w:p w:rsidR="00A2639C" w:rsidRDefault="00A2639C" w:rsidP="00A2639C">
      <w:pPr>
        <w:pStyle w:val="ListParagraph"/>
        <w:jc w:val="both"/>
      </w:pPr>
    </w:p>
    <w:p w:rsidR="00054240" w:rsidRDefault="00054240" w:rsidP="00054240">
      <w:pPr>
        <w:pStyle w:val="ListParagraph"/>
        <w:numPr>
          <w:ilvl w:val="0"/>
          <w:numId w:val="2"/>
        </w:numPr>
        <w:jc w:val="both"/>
        <w:rPr>
          <w:b/>
        </w:rPr>
      </w:pPr>
      <w:r w:rsidRPr="005436D3">
        <w:rPr>
          <w:b/>
        </w:rPr>
        <w:t>References</w:t>
      </w:r>
      <w:r w:rsidR="0098504B">
        <w:rPr>
          <w:b/>
        </w:rPr>
        <w:t>.</w:t>
      </w:r>
    </w:p>
    <w:p w:rsidR="0098504B" w:rsidRDefault="0098504B" w:rsidP="0098504B">
      <w:pPr>
        <w:ind w:left="360"/>
        <w:jc w:val="both"/>
      </w:pPr>
      <w:proofErr w:type="gramStart"/>
      <w:r w:rsidRPr="0098504B">
        <w:t>Climate Network Africa, (2006)</w:t>
      </w:r>
      <w:r>
        <w:t>.</w:t>
      </w:r>
      <w:proofErr w:type="gramEnd"/>
      <w:r w:rsidR="003E37D9">
        <w:t xml:space="preserve"> </w:t>
      </w:r>
      <w:proofErr w:type="gramStart"/>
      <w:r w:rsidR="003E37D9">
        <w:t>The Clean</w:t>
      </w:r>
      <w:r w:rsidR="006344CE">
        <w:t xml:space="preserve"> Development mechanism in Africa.</w:t>
      </w:r>
      <w:proofErr w:type="gramEnd"/>
      <w:r w:rsidR="006344CE">
        <w:t xml:space="preserve"> </w:t>
      </w:r>
      <w:proofErr w:type="gramStart"/>
      <w:r w:rsidR="006344CE" w:rsidRPr="006344CE">
        <w:rPr>
          <w:i/>
        </w:rPr>
        <w:t>A Framework for the design of Sustainable Development Projects</w:t>
      </w:r>
      <w:r w:rsidR="006344CE">
        <w:t>.</w:t>
      </w:r>
      <w:proofErr w:type="gramEnd"/>
      <w:r w:rsidR="006344CE">
        <w:t xml:space="preserve"> </w:t>
      </w:r>
      <w:proofErr w:type="gramStart"/>
      <w:r w:rsidR="006344CE">
        <w:t>Climate Change.</w:t>
      </w:r>
      <w:proofErr w:type="gramEnd"/>
      <w:r w:rsidR="006344CE">
        <w:t xml:space="preserve"> Nairobi. Kenya. ISBN: 9966-9949-2-0</w:t>
      </w:r>
    </w:p>
    <w:p w:rsidR="006D365B" w:rsidRPr="0098504B" w:rsidRDefault="006D365B" w:rsidP="0098504B">
      <w:pPr>
        <w:ind w:left="360"/>
        <w:jc w:val="both"/>
      </w:pPr>
      <w:proofErr w:type="gramStart"/>
      <w:r>
        <w:t xml:space="preserve">Ellis, K., Lemma, A., </w:t>
      </w:r>
      <w:proofErr w:type="spellStart"/>
      <w:r>
        <w:t>Mutimba</w:t>
      </w:r>
      <w:proofErr w:type="spellEnd"/>
      <w:r>
        <w:t xml:space="preserve">, S., and </w:t>
      </w:r>
      <w:proofErr w:type="spellStart"/>
      <w:r>
        <w:t>Wanyoike</w:t>
      </w:r>
      <w:proofErr w:type="spellEnd"/>
      <w:r>
        <w:t>, R. (2013).</w:t>
      </w:r>
      <w:proofErr w:type="gramEnd"/>
      <w:r>
        <w:t xml:space="preserve"> </w:t>
      </w:r>
      <w:proofErr w:type="gramStart"/>
      <w:r>
        <w:t>Low Carbon Competitiveness in Kenya.</w:t>
      </w:r>
      <w:proofErr w:type="gramEnd"/>
      <w:r>
        <w:t xml:space="preserve"> </w:t>
      </w:r>
    </w:p>
    <w:p w:rsidR="0098504B" w:rsidRDefault="0098504B" w:rsidP="00CC545D">
      <w:pPr>
        <w:ind w:left="360"/>
        <w:jc w:val="both"/>
      </w:pPr>
      <w:proofErr w:type="spellStart"/>
      <w:r w:rsidRPr="0098504B">
        <w:t>Mutevu</w:t>
      </w:r>
      <w:proofErr w:type="spellEnd"/>
      <w:r w:rsidRPr="0098504B">
        <w:t>, M.</w:t>
      </w:r>
      <w:r w:rsidR="004E65CD">
        <w:t>M.</w:t>
      </w:r>
      <w:r w:rsidRPr="0098504B">
        <w:t xml:space="preserve"> (2010)</w:t>
      </w:r>
      <w:r>
        <w:t>.</w:t>
      </w:r>
      <w:r w:rsidR="004E65CD">
        <w:t xml:space="preserve"> </w:t>
      </w:r>
      <w:proofErr w:type="gramStart"/>
      <w:r w:rsidR="004E65CD">
        <w:t xml:space="preserve">Investing Institutional, Policy and Project Financing Barriers, impeding Clean </w:t>
      </w:r>
      <w:r w:rsidR="00CC545D">
        <w:t xml:space="preserve">  </w:t>
      </w:r>
      <w:r w:rsidR="004E65CD">
        <w:t>Development Mechanism</w:t>
      </w:r>
      <w:r w:rsidR="003E37D9">
        <w:t xml:space="preserve"> (CDM) implementation in Kenya.</w:t>
      </w:r>
      <w:proofErr w:type="gramEnd"/>
      <w:r w:rsidR="003E37D9">
        <w:t xml:space="preserve"> M.Sc., </w:t>
      </w:r>
      <w:proofErr w:type="spellStart"/>
      <w:r w:rsidR="003E37D9">
        <w:t>Jomo</w:t>
      </w:r>
      <w:proofErr w:type="spellEnd"/>
      <w:r w:rsidR="003E37D9">
        <w:t xml:space="preserve"> Kenyatta Un</w:t>
      </w:r>
      <w:r w:rsidR="002272FF">
        <w:t>iversity of Agriculture and Tec</w:t>
      </w:r>
      <w:bookmarkStart w:id="0" w:name="_GoBack"/>
      <w:bookmarkEnd w:id="0"/>
      <w:r w:rsidR="003E37D9">
        <w:t xml:space="preserve">hnology. </w:t>
      </w:r>
      <w:proofErr w:type="spellStart"/>
      <w:proofErr w:type="gramStart"/>
      <w:r w:rsidR="003E37D9">
        <w:t>Juja</w:t>
      </w:r>
      <w:proofErr w:type="spellEnd"/>
      <w:r w:rsidR="003E37D9">
        <w:t>.</w:t>
      </w:r>
      <w:proofErr w:type="gramEnd"/>
      <w:r w:rsidR="003E37D9">
        <w:t xml:space="preserve"> Kenya.</w:t>
      </w:r>
    </w:p>
    <w:p w:rsidR="003E37D9" w:rsidRPr="0098504B" w:rsidRDefault="003E37D9" w:rsidP="003E37D9">
      <w:pPr>
        <w:ind w:left="360"/>
        <w:jc w:val="both"/>
      </w:pPr>
      <w:proofErr w:type="spellStart"/>
      <w:proofErr w:type="gramStart"/>
      <w:r>
        <w:t>Sokona</w:t>
      </w:r>
      <w:proofErr w:type="spellEnd"/>
      <w:r>
        <w:t>, Y., Humphreys, M. and Thomas, J. (2000).</w:t>
      </w:r>
      <w:proofErr w:type="gramEnd"/>
      <w:r>
        <w:t xml:space="preserve"> “What prospects for </w:t>
      </w:r>
      <w:proofErr w:type="gramStart"/>
      <w:r>
        <w:t>Africa.</w:t>
      </w:r>
      <w:proofErr w:type="gramEnd"/>
      <w:r>
        <w:t xml:space="preserve">” International Journal </w:t>
      </w:r>
      <w:proofErr w:type="spellStart"/>
      <w:r>
        <w:t>Goldemberg</w:t>
      </w:r>
      <w:proofErr w:type="spellEnd"/>
      <w:r>
        <w:t xml:space="preserve">., </w:t>
      </w:r>
      <w:r w:rsidRPr="004E65CD">
        <w:rPr>
          <w:i/>
        </w:rPr>
        <w:t>Clean Development Mechanism Issues and options</w:t>
      </w:r>
      <w:r>
        <w:t xml:space="preserve">. New York. </w:t>
      </w:r>
      <w:proofErr w:type="gramStart"/>
      <w:r>
        <w:t>UNDP.</w:t>
      </w:r>
      <w:proofErr w:type="gramEnd"/>
    </w:p>
    <w:p w:rsidR="0098504B" w:rsidRDefault="0098504B" w:rsidP="0098504B">
      <w:pPr>
        <w:ind w:left="360"/>
        <w:jc w:val="both"/>
      </w:pPr>
      <w:proofErr w:type="gramStart"/>
      <w:r w:rsidRPr="0098504B">
        <w:t>World Bank, (2000)</w:t>
      </w:r>
      <w:r>
        <w:t>.</w:t>
      </w:r>
      <w:proofErr w:type="gramEnd"/>
      <w:r w:rsidR="004E65CD">
        <w:t xml:space="preserve"> </w:t>
      </w:r>
      <w:proofErr w:type="gramStart"/>
      <w:r w:rsidR="004E65CD">
        <w:t>NSS Study.</w:t>
      </w:r>
      <w:proofErr w:type="gramEnd"/>
      <w:r w:rsidR="004E65CD">
        <w:t xml:space="preserve"> </w:t>
      </w:r>
      <w:proofErr w:type="gramStart"/>
      <w:r w:rsidR="004E65CD" w:rsidRPr="004E65CD">
        <w:rPr>
          <w:i/>
        </w:rPr>
        <w:t>CDM in Developing Countries</w:t>
      </w:r>
      <w:r w:rsidR="004E65CD">
        <w:t>.</w:t>
      </w:r>
      <w:proofErr w:type="gramEnd"/>
      <w:r w:rsidR="004E65CD">
        <w:t xml:space="preserve"> Washington D.C</w:t>
      </w:r>
      <w:proofErr w:type="gramStart"/>
      <w:r w:rsidR="004E65CD">
        <w:t>. :</w:t>
      </w:r>
      <w:proofErr w:type="gramEnd"/>
      <w:r w:rsidR="004E65CD">
        <w:t xml:space="preserve"> The Word Bank.</w:t>
      </w:r>
    </w:p>
    <w:p w:rsidR="0098504B" w:rsidRPr="0098504B" w:rsidRDefault="0098504B" w:rsidP="0098504B">
      <w:pPr>
        <w:ind w:left="360"/>
        <w:jc w:val="both"/>
        <w:rPr>
          <w:b/>
        </w:rPr>
      </w:pPr>
    </w:p>
    <w:p w:rsidR="003A6F46" w:rsidRPr="003A6F46" w:rsidRDefault="003A6F46" w:rsidP="00054240">
      <w:pPr>
        <w:jc w:val="both"/>
      </w:pPr>
    </w:p>
    <w:p w:rsidR="003A6F46" w:rsidRPr="003A6F46" w:rsidRDefault="003A6F46" w:rsidP="00AD419B">
      <w:pPr>
        <w:jc w:val="both"/>
        <w:rPr>
          <w:b/>
        </w:rPr>
      </w:pPr>
    </w:p>
    <w:sectPr w:rsidR="003A6F46" w:rsidRPr="003A6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44670"/>
    <w:multiLevelType w:val="multilevel"/>
    <w:tmpl w:val="54EA256C"/>
    <w:lvl w:ilvl="0">
      <w:start w:val="1"/>
      <w:numFmt w:val="decimal"/>
      <w:lvlText w:val="%1."/>
      <w:lvlJc w:val="left"/>
      <w:pPr>
        <w:ind w:left="720" w:hanging="360"/>
      </w:pPr>
      <w:rPr>
        <w:rFonts w:hint="default"/>
      </w:rPr>
    </w:lvl>
    <w:lvl w:ilvl="1">
      <w:start w:val="10"/>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760E463F"/>
    <w:multiLevelType w:val="hybridMultilevel"/>
    <w:tmpl w:val="A658F144"/>
    <w:lvl w:ilvl="0" w:tplc="8EF6FA36">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BA"/>
    <w:rsid w:val="00004EDC"/>
    <w:rsid w:val="00013D0C"/>
    <w:rsid w:val="00022F9A"/>
    <w:rsid w:val="00036F44"/>
    <w:rsid w:val="000379C5"/>
    <w:rsid w:val="00054240"/>
    <w:rsid w:val="00055197"/>
    <w:rsid w:val="0007531B"/>
    <w:rsid w:val="000B4FF5"/>
    <w:rsid w:val="000C2AFE"/>
    <w:rsid w:val="000C5C08"/>
    <w:rsid w:val="00136D67"/>
    <w:rsid w:val="0015677C"/>
    <w:rsid w:val="00163CBA"/>
    <w:rsid w:val="00181D2A"/>
    <w:rsid w:val="00203196"/>
    <w:rsid w:val="00221368"/>
    <w:rsid w:val="002244D3"/>
    <w:rsid w:val="00224D40"/>
    <w:rsid w:val="002272FF"/>
    <w:rsid w:val="002354C0"/>
    <w:rsid w:val="00241799"/>
    <w:rsid w:val="002731DE"/>
    <w:rsid w:val="002917EC"/>
    <w:rsid w:val="002D375E"/>
    <w:rsid w:val="002E02EC"/>
    <w:rsid w:val="003110FB"/>
    <w:rsid w:val="003219C6"/>
    <w:rsid w:val="003643BA"/>
    <w:rsid w:val="00391054"/>
    <w:rsid w:val="003A41C4"/>
    <w:rsid w:val="003A6F46"/>
    <w:rsid w:val="003C3593"/>
    <w:rsid w:val="003E37D9"/>
    <w:rsid w:val="00404E8E"/>
    <w:rsid w:val="004230AE"/>
    <w:rsid w:val="0042411D"/>
    <w:rsid w:val="00431201"/>
    <w:rsid w:val="0044001A"/>
    <w:rsid w:val="004920E1"/>
    <w:rsid w:val="004A0B94"/>
    <w:rsid w:val="004B6193"/>
    <w:rsid w:val="004E65CD"/>
    <w:rsid w:val="004E70C5"/>
    <w:rsid w:val="00506C95"/>
    <w:rsid w:val="00532C75"/>
    <w:rsid w:val="005436D3"/>
    <w:rsid w:val="00565726"/>
    <w:rsid w:val="00577477"/>
    <w:rsid w:val="00586B32"/>
    <w:rsid w:val="005B4BA6"/>
    <w:rsid w:val="005B74E5"/>
    <w:rsid w:val="005D4D40"/>
    <w:rsid w:val="005F1280"/>
    <w:rsid w:val="005F3B19"/>
    <w:rsid w:val="005F753A"/>
    <w:rsid w:val="006344CE"/>
    <w:rsid w:val="00641195"/>
    <w:rsid w:val="006B72CE"/>
    <w:rsid w:val="006C5A2E"/>
    <w:rsid w:val="006D365B"/>
    <w:rsid w:val="00702EA8"/>
    <w:rsid w:val="0071384F"/>
    <w:rsid w:val="00776855"/>
    <w:rsid w:val="008016B9"/>
    <w:rsid w:val="00805326"/>
    <w:rsid w:val="00816354"/>
    <w:rsid w:val="0084700A"/>
    <w:rsid w:val="008603E8"/>
    <w:rsid w:val="00880DB6"/>
    <w:rsid w:val="008936C3"/>
    <w:rsid w:val="008A78C9"/>
    <w:rsid w:val="008C47B1"/>
    <w:rsid w:val="008D59EF"/>
    <w:rsid w:val="008D787C"/>
    <w:rsid w:val="008E0B4A"/>
    <w:rsid w:val="008F12CB"/>
    <w:rsid w:val="0090252B"/>
    <w:rsid w:val="0098504B"/>
    <w:rsid w:val="00987630"/>
    <w:rsid w:val="009C1083"/>
    <w:rsid w:val="00A2639C"/>
    <w:rsid w:val="00A26B10"/>
    <w:rsid w:val="00A302EB"/>
    <w:rsid w:val="00A312FA"/>
    <w:rsid w:val="00A41A71"/>
    <w:rsid w:val="00A43F04"/>
    <w:rsid w:val="00A55FFA"/>
    <w:rsid w:val="00A67952"/>
    <w:rsid w:val="00A71DC3"/>
    <w:rsid w:val="00A73BFC"/>
    <w:rsid w:val="00A86359"/>
    <w:rsid w:val="00A93C50"/>
    <w:rsid w:val="00AD419B"/>
    <w:rsid w:val="00AF469C"/>
    <w:rsid w:val="00B014A3"/>
    <w:rsid w:val="00B45F32"/>
    <w:rsid w:val="00B918B9"/>
    <w:rsid w:val="00B94530"/>
    <w:rsid w:val="00BB4D99"/>
    <w:rsid w:val="00BF443F"/>
    <w:rsid w:val="00C13D7F"/>
    <w:rsid w:val="00C22712"/>
    <w:rsid w:val="00C55F45"/>
    <w:rsid w:val="00C60933"/>
    <w:rsid w:val="00C84D3E"/>
    <w:rsid w:val="00C87949"/>
    <w:rsid w:val="00C97C99"/>
    <w:rsid w:val="00CC545D"/>
    <w:rsid w:val="00D367C5"/>
    <w:rsid w:val="00D85B4A"/>
    <w:rsid w:val="00D879D0"/>
    <w:rsid w:val="00DC54D8"/>
    <w:rsid w:val="00DE6F40"/>
    <w:rsid w:val="00DF058B"/>
    <w:rsid w:val="00E138A8"/>
    <w:rsid w:val="00E310AB"/>
    <w:rsid w:val="00E511DC"/>
    <w:rsid w:val="00E62E48"/>
    <w:rsid w:val="00E6753C"/>
    <w:rsid w:val="00E761A2"/>
    <w:rsid w:val="00E86A53"/>
    <w:rsid w:val="00ED4098"/>
    <w:rsid w:val="00ED6623"/>
    <w:rsid w:val="00EF38E7"/>
    <w:rsid w:val="00F35268"/>
    <w:rsid w:val="00F512E8"/>
    <w:rsid w:val="00F52C25"/>
    <w:rsid w:val="00F56DD9"/>
    <w:rsid w:val="00F57B30"/>
    <w:rsid w:val="00F968F1"/>
    <w:rsid w:val="00F97AE4"/>
    <w:rsid w:val="00FB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F46"/>
    <w:pPr>
      <w:ind w:left="720"/>
      <w:contextualSpacing/>
    </w:pPr>
  </w:style>
  <w:style w:type="table" w:styleId="TableGrid">
    <w:name w:val="Table Grid"/>
    <w:basedOn w:val="TableNormal"/>
    <w:uiPriority w:val="59"/>
    <w:rsid w:val="00D87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F46"/>
    <w:pPr>
      <w:ind w:left="720"/>
      <w:contextualSpacing/>
    </w:pPr>
  </w:style>
  <w:style w:type="table" w:styleId="TableGrid">
    <w:name w:val="Table Grid"/>
    <w:basedOn w:val="TableNormal"/>
    <w:uiPriority w:val="59"/>
    <w:rsid w:val="00D87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2019-08-28T12:39:00Z</dcterms:created>
  <dcterms:modified xsi:type="dcterms:W3CDTF">2019-08-28T12:39:00Z</dcterms:modified>
</cp:coreProperties>
</file>