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20E" w:rsidRPr="00313169" w:rsidRDefault="0086220E" w:rsidP="0086220E">
      <w:pPr>
        <w:jc w:val="center"/>
        <w:rPr>
          <w:rFonts w:ascii="Times New Roman" w:hAnsi="Times New Roman" w:cs="Times New Roman"/>
          <w:b/>
          <w:sz w:val="24"/>
          <w:szCs w:val="24"/>
        </w:rPr>
      </w:pPr>
      <w:r w:rsidRPr="00313169">
        <w:rPr>
          <w:rFonts w:ascii="Times New Roman" w:hAnsi="Times New Roman" w:cs="Times New Roman"/>
          <w:b/>
          <w:sz w:val="24"/>
          <w:szCs w:val="24"/>
        </w:rPr>
        <w:t>FACTORS THAT CONTRIBUTE TO STUNTING OF CHILDREN LESS THAN TWO YEARS IN FOOD SECURE REGIONS: A COMPARATIVE STUDY OF URBAN AND RURAL UASIN GISHU.</w:t>
      </w:r>
    </w:p>
    <w:p w:rsidR="0086220E" w:rsidRPr="00313169" w:rsidRDefault="0086220E" w:rsidP="0086220E">
      <w:pPr>
        <w:jc w:val="center"/>
        <w:rPr>
          <w:rFonts w:ascii="Times New Roman" w:hAnsi="Times New Roman" w:cs="Times New Roman"/>
          <w:b/>
          <w:sz w:val="24"/>
          <w:szCs w:val="24"/>
        </w:rPr>
      </w:pPr>
    </w:p>
    <w:p w:rsidR="0086220E" w:rsidRDefault="005124E1" w:rsidP="00F77F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Nancy </w:t>
      </w:r>
      <w:r w:rsidR="00DA4D1F">
        <w:rPr>
          <w:rFonts w:ascii="Times New Roman" w:hAnsi="Times New Roman" w:cs="Times New Roman"/>
          <w:sz w:val="24"/>
          <w:szCs w:val="24"/>
        </w:rPr>
        <w:t xml:space="preserve">Imali </w:t>
      </w:r>
      <w:r>
        <w:rPr>
          <w:rFonts w:ascii="Times New Roman" w:hAnsi="Times New Roman" w:cs="Times New Roman"/>
          <w:sz w:val="24"/>
          <w:szCs w:val="24"/>
        </w:rPr>
        <w:t xml:space="preserve">Mdoga, Pamela Kimeto and </w:t>
      </w:r>
      <w:r w:rsidR="0086220E">
        <w:rPr>
          <w:rFonts w:ascii="Times New Roman" w:hAnsi="Times New Roman" w:cs="Times New Roman"/>
          <w:sz w:val="24"/>
          <w:szCs w:val="24"/>
        </w:rPr>
        <w:t>Wesley Bor</w:t>
      </w:r>
    </w:p>
    <w:p w:rsidR="00F77FF3" w:rsidRDefault="00F77FF3" w:rsidP="00F77F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Deparment of Human Nutrition and Dietetics, Kabarak University</w:t>
      </w:r>
    </w:p>
    <w:p w:rsidR="004E3660" w:rsidRDefault="004E3660" w:rsidP="00F77FF3">
      <w:pPr>
        <w:spacing w:after="0" w:line="240" w:lineRule="auto"/>
        <w:rPr>
          <w:rFonts w:ascii="Times New Roman" w:hAnsi="Times New Roman" w:cs="Times New Roman"/>
          <w:b/>
          <w:sz w:val="24"/>
          <w:szCs w:val="24"/>
        </w:rPr>
      </w:pPr>
    </w:p>
    <w:p w:rsidR="00F77FF3" w:rsidRPr="004E3660" w:rsidRDefault="00F77FF3" w:rsidP="00F77FF3">
      <w:pPr>
        <w:spacing w:after="0" w:line="240" w:lineRule="auto"/>
        <w:rPr>
          <w:rFonts w:ascii="Times New Roman" w:hAnsi="Times New Roman" w:cs="Times New Roman"/>
          <w:b/>
          <w:sz w:val="24"/>
          <w:szCs w:val="24"/>
        </w:rPr>
      </w:pPr>
      <w:r w:rsidRPr="004E3660">
        <w:rPr>
          <w:rFonts w:ascii="Times New Roman" w:hAnsi="Times New Roman" w:cs="Times New Roman"/>
          <w:b/>
          <w:sz w:val="24"/>
          <w:szCs w:val="24"/>
        </w:rPr>
        <w:t>Abstract</w:t>
      </w:r>
    </w:p>
    <w:p w:rsidR="00F77FF3" w:rsidRDefault="00F77FF3" w:rsidP="00F77FF3">
      <w:pPr>
        <w:spacing w:after="0" w:line="240" w:lineRule="auto"/>
        <w:jc w:val="center"/>
        <w:rPr>
          <w:rFonts w:ascii="Times New Roman" w:hAnsi="Times New Roman" w:cs="Times New Roman"/>
          <w:sz w:val="24"/>
          <w:szCs w:val="24"/>
        </w:rPr>
      </w:pPr>
    </w:p>
    <w:p w:rsidR="0086220E" w:rsidRDefault="0086220E" w:rsidP="00711048">
      <w:pPr>
        <w:spacing w:after="0"/>
        <w:ind w:firstLine="720"/>
        <w:jc w:val="both"/>
        <w:rPr>
          <w:rFonts w:ascii="Times New Roman" w:hAnsi="Times New Roman" w:cs="Times New Roman"/>
          <w:sz w:val="24"/>
          <w:szCs w:val="24"/>
        </w:rPr>
      </w:pPr>
      <w:r w:rsidRPr="008971D5">
        <w:rPr>
          <w:rFonts w:ascii="Times New Roman" w:hAnsi="Times New Roman" w:cs="Times New Roman"/>
          <w:sz w:val="24"/>
          <w:szCs w:val="24"/>
        </w:rPr>
        <w:t>Stunting is low height for age</w:t>
      </w:r>
      <w:r>
        <w:rPr>
          <w:rFonts w:ascii="Times New Roman" w:hAnsi="Times New Roman" w:cs="Times New Roman"/>
          <w:sz w:val="24"/>
          <w:szCs w:val="24"/>
        </w:rPr>
        <w:t xml:space="preserve"> with poor brain and physical development. It affects about one fifth </w:t>
      </w:r>
      <w:r w:rsidRPr="008971D5">
        <w:rPr>
          <w:rFonts w:ascii="Times New Roman" w:hAnsi="Times New Roman" w:cs="Times New Roman"/>
          <w:sz w:val="24"/>
          <w:szCs w:val="24"/>
        </w:rPr>
        <w:t>of children less than five years</w:t>
      </w:r>
      <w:r>
        <w:rPr>
          <w:rFonts w:ascii="Times New Roman" w:hAnsi="Times New Roman" w:cs="Times New Roman"/>
          <w:sz w:val="24"/>
          <w:szCs w:val="24"/>
        </w:rPr>
        <w:t xml:space="preserve"> globally with</w:t>
      </w:r>
      <w:r w:rsidRPr="008971D5">
        <w:rPr>
          <w:rFonts w:ascii="Times New Roman" w:hAnsi="Times New Roman" w:cs="Times New Roman"/>
          <w:sz w:val="24"/>
          <w:szCs w:val="24"/>
        </w:rPr>
        <w:t xml:space="preserve"> Africa having 39% </w:t>
      </w:r>
      <w:r>
        <w:rPr>
          <w:rFonts w:ascii="Times New Roman" w:hAnsi="Times New Roman" w:cs="Times New Roman"/>
          <w:sz w:val="24"/>
          <w:szCs w:val="24"/>
        </w:rPr>
        <w:t xml:space="preserve">in </w:t>
      </w:r>
      <w:r w:rsidRPr="008971D5">
        <w:rPr>
          <w:rFonts w:ascii="Times New Roman" w:hAnsi="Times New Roman" w:cs="Times New Roman"/>
          <w:sz w:val="24"/>
          <w:szCs w:val="24"/>
        </w:rPr>
        <w:t xml:space="preserve">2017. </w:t>
      </w:r>
      <w:r>
        <w:rPr>
          <w:rFonts w:ascii="Times New Roman" w:hAnsi="Times New Roman" w:cs="Times New Roman"/>
          <w:sz w:val="24"/>
          <w:szCs w:val="24"/>
        </w:rPr>
        <w:t>Stunting develops during pregnancy and in children 0-23 months due to inadequate nutrition. It results to increased morbidity, mortality,</w:t>
      </w:r>
      <w:r w:rsidRPr="008971D5">
        <w:rPr>
          <w:rFonts w:ascii="Times New Roman" w:hAnsi="Times New Roman" w:cs="Times New Roman"/>
          <w:sz w:val="24"/>
          <w:szCs w:val="24"/>
        </w:rPr>
        <w:t xml:space="preserve"> reduced individual output, and </w:t>
      </w:r>
      <w:r>
        <w:rPr>
          <w:rFonts w:ascii="Times New Roman" w:hAnsi="Times New Roman" w:cs="Times New Roman"/>
          <w:sz w:val="24"/>
          <w:szCs w:val="24"/>
        </w:rPr>
        <w:t>predisposes children to chronic illnesses</w:t>
      </w:r>
      <w:r w:rsidRPr="008971D5">
        <w:rPr>
          <w:rFonts w:ascii="Times New Roman" w:hAnsi="Times New Roman" w:cs="Times New Roman"/>
          <w:sz w:val="24"/>
          <w:szCs w:val="24"/>
        </w:rPr>
        <w:t xml:space="preserve">. </w:t>
      </w:r>
      <w:r>
        <w:rPr>
          <w:rFonts w:ascii="Times New Roman" w:hAnsi="Times New Roman" w:cs="Times New Roman"/>
          <w:sz w:val="24"/>
          <w:szCs w:val="24"/>
        </w:rPr>
        <w:t>Some surveys have shown stunted children are found in food secure areas.</w:t>
      </w:r>
      <w:r w:rsidRPr="008971D5">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8971D5">
        <w:rPr>
          <w:rFonts w:ascii="Times New Roman" w:hAnsi="Times New Roman" w:cs="Times New Roman"/>
          <w:sz w:val="24"/>
          <w:szCs w:val="24"/>
        </w:rPr>
        <w:t xml:space="preserve">there seems to be a major research gap on factors contributing to stunting </w:t>
      </w:r>
      <w:r>
        <w:rPr>
          <w:rFonts w:ascii="Times New Roman" w:hAnsi="Times New Roman" w:cs="Times New Roman"/>
          <w:sz w:val="24"/>
          <w:szCs w:val="24"/>
        </w:rPr>
        <w:t xml:space="preserve">in such areas </w:t>
      </w:r>
      <w:r w:rsidRPr="008971D5">
        <w:rPr>
          <w:rFonts w:ascii="Times New Roman" w:hAnsi="Times New Roman" w:cs="Times New Roman"/>
          <w:sz w:val="24"/>
          <w:szCs w:val="24"/>
        </w:rPr>
        <w:t>more so in Uasin Gishu County.</w:t>
      </w:r>
      <w:r>
        <w:rPr>
          <w:rFonts w:ascii="Times New Roman" w:hAnsi="Times New Roman" w:cs="Times New Roman"/>
          <w:sz w:val="24"/>
          <w:szCs w:val="24"/>
        </w:rPr>
        <w:t xml:space="preserve"> </w:t>
      </w:r>
      <w:r w:rsidRPr="008971D5">
        <w:rPr>
          <w:rFonts w:ascii="Times New Roman" w:hAnsi="Times New Roman" w:cs="Times New Roman"/>
          <w:sz w:val="24"/>
          <w:szCs w:val="24"/>
        </w:rPr>
        <w:t xml:space="preserve">The purpose </w:t>
      </w:r>
      <w:r>
        <w:rPr>
          <w:rFonts w:ascii="Times New Roman" w:hAnsi="Times New Roman" w:cs="Times New Roman"/>
          <w:sz w:val="24"/>
          <w:szCs w:val="24"/>
        </w:rPr>
        <w:t xml:space="preserve">of </w:t>
      </w:r>
      <w:r w:rsidRPr="008971D5">
        <w:rPr>
          <w:rFonts w:ascii="Times New Roman" w:hAnsi="Times New Roman" w:cs="Times New Roman"/>
          <w:sz w:val="24"/>
          <w:szCs w:val="24"/>
        </w:rPr>
        <w:t xml:space="preserve">this study </w:t>
      </w:r>
      <w:r>
        <w:rPr>
          <w:rFonts w:ascii="Times New Roman" w:hAnsi="Times New Roman" w:cs="Times New Roman"/>
          <w:sz w:val="24"/>
          <w:szCs w:val="24"/>
        </w:rPr>
        <w:t>was to determine the contributors to high prevalence of stunting in children less than two years in Uasin Gishu County. A c</w:t>
      </w:r>
      <w:r w:rsidRPr="008971D5">
        <w:rPr>
          <w:rFonts w:ascii="Times New Roman" w:hAnsi="Times New Roman" w:cs="Times New Roman"/>
          <w:sz w:val="24"/>
          <w:szCs w:val="24"/>
        </w:rPr>
        <w:t xml:space="preserve">omparative cross-sectional survey </w:t>
      </w:r>
      <w:r>
        <w:rPr>
          <w:rFonts w:ascii="Times New Roman" w:hAnsi="Times New Roman" w:cs="Times New Roman"/>
          <w:sz w:val="24"/>
          <w:szCs w:val="24"/>
        </w:rPr>
        <w:t xml:space="preserve">design was used for this study. A sample size of 331 stunted children aged </w:t>
      </w:r>
      <w:r w:rsidRPr="008971D5">
        <w:rPr>
          <w:rFonts w:ascii="Times New Roman" w:hAnsi="Times New Roman" w:cs="Times New Roman"/>
          <w:sz w:val="24"/>
          <w:szCs w:val="24"/>
        </w:rPr>
        <w:t>0</w:t>
      </w:r>
      <w:r>
        <w:rPr>
          <w:rFonts w:ascii="Times New Roman" w:hAnsi="Times New Roman" w:cs="Times New Roman"/>
          <w:sz w:val="24"/>
          <w:szCs w:val="24"/>
        </w:rPr>
        <w:t xml:space="preserve">-23 months were recruited using </w:t>
      </w:r>
      <w:r w:rsidRPr="008971D5">
        <w:rPr>
          <w:rFonts w:ascii="Times New Roman" w:hAnsi="Times New Roman" w:cs="Times New Roman"/>
          <w:sz w:val="24"/>
          <w:szCs w:val="24"/>
        </w:rPr>
        <w:t>multistage, systematic random sampling. The results</w:t>
      </w:r>
      <w:r>
        <w:rPr>
          <w:rFonts w:ascii="Times New Roman" w:hAnsi="Times New Roman" w:cs="Times New Roman"/>
          <w:sz w:val="24"/>
          <w:szCs w:val="24"/>
        </w:rPr>
        <w:t xml:space="preserve"> show more stunted females than males at χ</w:t>
      </w:r>
      <w:r w:rsidRPr="00CB68B8">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CB68B8">
        <w:rPr>
          <w:rFonts w:ascii="Times New Roman" w:hAnsi="Times New Roman" w:cs="Times New Roman"/>
          <w:i/>
          <w:sz w:val="24"/>
          <w:szCs w:val="24"/>
        </w:rPr>
        <w:t>P</w:t>
      </w:r>
      <w:r>
        <w:rPr>
          <w:rFonts w:ascii="Times New Roman" w:hAnsi="Times New Roman" w:cs="Times New Roman"/>
          <w:sz w:val="24"/>
          <w:szCs w:val="24"/>
        </w:rPr>
        <w:t xml:space="preserve">=0.001) with </w:t>
      </w:r>
      <w:r w:rsidRPr="008971D5">
        <w:rPr>
          <w:rFonts w:ascii="Times New Roman" w:hAnsi="Times New Roman" w:cs="Times New Roman"/>
          <w:sz w:val="24"/>
          <w:szCs w:val="24"/>
        </w:rPr>
        <w:t xml:space="preserve">most </w:t>
      </w:r>
      <w:r>
        <w:rPr>
          <w:rFonts w:ascii="Times New Roman" w:hAnsi="Times New Roman" w:cs="Times New Roman"/>
          <w:sz w:val="24"/>
          <w:szCs w:val="24"/>
        </w:rPr>
        <w:t>of the children cared for by their biological mothers 92% (305/331). More urban children who were less than six months were exclusively breastfed compared to rural children,</w:t>
      </w:r>
      <w:r w:rsidRPr="00E91A4E">
        <w:rPr>
          <w:rFonts w:ascii="Times New Roman" w:hAnsi="Times New Roman" w:cs="Times New Roman"/>
          <w:sz w:val="24"/>
          <w:szCs w:val="24"/>
        </w:rPr>
        <w:t xml:space="preserve"> </w:t>
      </w:r>
      <w:r w:rsidRPr="002077FD">
        <w:rPr>
          <w:rFonts w:ascii="Times New Roman" w:hAnsi="Times New Roman" w:cs="Times New Roman"/>
          <w:sz w:val="24"/>
          <w:szCs w:val="24"/>
        </w:rPr>
        <w:t>χ</w:t>
      </w:r>
      <w:r w:rsidRPr="002077FD">
        <w:rPr>
          <w:rFonts w:ascii="Times New Roman" w:hAnsi="Times New Roman" w:cs="Times New Roman"/>
          <w:sz w:val="24"/>
          <w:szCs w:val="24"/>
          <w:vertAlign w:val="superscript"/>
        </w:rPr>
        <w:t>2</w:t>
      </w:r>
      <w:r w:rsidRPr="00B32052">
        <w:rPr>
          <w:rFonts w:ascii="Times New Roman" w:hAnsi="Times New Roman" w:cs="Times New Roman"/>
          <w:sz w:val="24"/>
          <w:szCs w:val="24"/>
        </w:rPr>
        <w:t xml:space="preserve"> (</w:t>
      </w:r>
      <w:r w:rsidRPr="002077FD">
        <w:rPr>
          <w:rFonts w:ascii="Times New Roman" w:hAnsi="Times New Roman" w:cs="Times New Roman"/>
          <w:i/>
          <w:sz w:val="24"/>
          <w:szCs w:val="24"/>
        </w:rPr>
        <w:t>P</w:t>
      </w:r>
      <w:r>
        <w:rPr>
          <w:rFonts w:ascii="Times New Roman" w:hAnsi="Times New Roman" w:cs="Times New Roman"/>
          <w:sz w:val="24"/>
          <w:szCs w:val="24"/>
        </w:rPr>
        <w:t xml:space="preserve">=0.001). More rural than urban children 6-23 months were still breastfeeding at </w:t>
      </w:r>
      <w:r w:rsidRPr="002077FD">
        <w:rPr>
          <w:rFonts w:ascii="Times New Roman" w:hAnsi="Times New Roman" w:cs="Times New Roman"/>
          <w:sz w:val="24"/>
          <w:szCs w:val="24"/>
        </w:rPr>
        <w:t>χ</w:t>
      </w:r>
      <w:r w:rsidRPr="002077FD">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AB6A69">
        <w:rPr>
          <w:rFonts w:ascii="Times New Roman" w:hAnsi="Times New Roman" w:cs="Times New Roman"/>
          <w:i/>
          <w:sz w:val="24"/>
          <w:szCs w:val="24"/>
        </w:rPr>
        <w:t>P</w:t>
      </w:r>
      <w:r>
        <w:rPr>
          <w:rFonts w:ascii="Times New Roman" w:hAnsi="Times New Roman" w:cs="Times New Roman"/>
          <w:sz w:val="24"/>
          <w:szCs w:val="24"/>
        </w:rPr>
        <w:t xml:space="preserve">=0.001). Children who lived in the rural area had a higher dietary diversity score ≥4 compared to urban children. Eggs were least fed food for both urban and rural children respectively (13/269:11/88). Rural children had a higher intake of vitamin A rich foods compared to urban children. Sub optimal feeding for the urban children six to twenty </w:t>
      </w:r>
      <w:r w:rsidRPr="00671B9D">
        <w:rPr>
          <w:rFonts w:ascii="Times New Roman" w:hAnsi="Times New Roman" w:cs="Times New Roman"/>
          <w:sz w:val="24"/>
          <w:szCs w:val="24"/>
        </w:rPr>
        <w:t xml:space="preserve">three </w:t>
      </w:r>
      <w:r>
        <w:rPr>
          <w:rFonts w:ascii="Times New Roman" w:hAnsi="Times New Roman" w:cs="Times New Roman"/>
          <w:sz w:val="24"/>
          <w:szCs w:val="24"/>
        </w:rPr>
        <w:t xml:space="preserve">months and rural children less than six months may be a contributing factor for stunting in children who are less than two years of age. </w:t>
      </w:r>
    </w:p>
    <w:p w:rsidR="0086220E" w:rsidRDefault="0086220E" w:rsidP="00711048">
      <w:pPr>
        <w:spacing w:after="0" w:line="360" w:lineRule="auto"/>
        <w:rPr>
          <w:rFonts w:ascii="Times New Roman" w:hAnsi="Times New Roman" w:cs="Times New Roman"/>
          <w:sz w:val="24"/>
          <w:szCs w:val="24"/>
        </w:rPr>
      </w:pPr>
    </w:p>
    <w:p w:rsidR="00711048" w:rsidRDefault="00567B00" w:rsidP="00711048">
      <w:pPr>
        <w:spacing w:after="0"/>
        <w:rPr>
          <w:rFonts w:ascii="Times New Roman" w:hAnsi="Times New Roman" w:cs="Times New Roman"/>
          <w:sz w:val="24"/>
          <w:szCs w:val="24"/>
        </w:rPr>
      </w:pPr>
      <w:r>
        <w:rPr>
          <w:rFonts w:ascii="Times New Roman" w:hAnsi="Times New Roman" w:cs="Times New Roman"/>
          <w:sz w:val="24"/>
          <w:szCs w:val="24"/>
        </w:rPr>
        <w:t>Key words: Stunting, c</w:t>
      </w:r>
      <w:r w:rsidR="0086220E" w:rsidRPr="0086220E">
        <w:rPr>
          <w:rFonts w:ascii="Times New Roman" w:hAnsi="Times New Roman" w:cs="Times New Roman"/>
          <w:sz w:val="24"/>
          <w:szCs w:val="24"/>
        </w:rPr>
        <w:t>hildren</w:t>
      </w:r>
      <w:r>
        <w:rPr>
          <w:rFonts w:ascii="Times New Roman" w:hAnsi="Times New Roman" w:cs="Times New Roman"/>
          <w:sz w:val="24"/>
          <w:szCs w:val="24"/>
        </w:rPr>
        <w:t>, foods, f</w:t>
      </w:r>
      <w:r w:rsidR="00711048">
        <w:rPr>
          <w:rFonts w:ascii="Times New Roman" w:hAnsi="Times New Roman" w:cs="Times New Roman"/>
          <w:sz w:val="24"/>
          <w:szCs w:val="24"/>
        </w:rPr>
        <w:t>ood secure, nutrition</w:t>
      </w:r>
    </w:p>
    <w:p w:rsidR="00711048" w:rsidRDefault="00711048" w:rsidP="00711048">
      <w:pPr>
        <w:spacing w:after="0" w:line="360" w:lineRule="auto"/>
        <w:rPr>
          <w:rFonts w:ascii="Times New Roman" w:hAnsi="Times New Roman" w:cs="Times New Roman"/>
          <w:sz w:val="24"/>
          <w:szCs w:val="24"/>
        </w:rPr>
      </w:pPr>
    </w:p>
    <w:p w:rsidR="00635433" w:rsidRPr="00711048" w:rsidRDefault="00635433" w:rsidP="00711048">
      <w:pPr>
        <w:spacing w:after="0" w:line="360" w:lineRule="auto"/>
        <w:rPr>
          <w:rFonts w:ascii="Times New Roman" w:hAnsi="Times New Roman" w:cs="Times New Roman"/>
          <w:sz w:val="24"/>
          <w:szCs w:val="24"/>
        </w:rPr>
      </w:pPr>
      <w:r w:rsidRPr="00603854">
        <w:rPr>
          <w:rFonts w:ascii="Times New Roman" w:hAnsi="Times New Roman" w:cs="Times New Roman"/>
          <w:b/>
          <w:sz w:val="24"/>
          <w:szCs w:val="24"/>
        </w:rPr>
        <w:t>Introduction</w:t>
      </w:r>
    </w:p>
    <w:p w:rsidR="002962FB" w:rsidRDefault="001B0281" w:rsidP="00711048">
      <w:pPr>
        <w:autoSpaceDE w:val="0"/>
        <w:autoSpaceDN w:val="0"/>
        <w:adjustRightInd w:val="0"/>
        <w:spacing w:after="0" w:line="360" w:lineRule="auto"/>
        <w:jc w:val="both"/>
        <w:rPr>
          <w:rFonts w:ascii="Times New Roman" w:eastAsia="Calibri" w:hAnsi="Times New Roman" w:cs="Times New Roman"/>
          <w:sz w:val="24"/>
          <w:szCs w:val="24"/>
          <w:lang w:val="en-GB"/>
        </w:rPr>
      </w:pPr>
      <w:r w:rsidRPr="001B0281">
        <w:rPr>
          <w:rFonts w:ascii="Times New Roman" w:eastAsia="Calibri" w:hAnsi="Times New Roman" w:cs="Times New Roman"/>
          <w:sz w:val="24"/>
          <w:szCs w:val="24"/>
          <w:lang w:val="en-GB"/>
        </w:rPr>
        <w:t>Poor nutrition status</w:t>
      </w:r>
      <w:r w:rsidR="002962FB">
        <w:rPr>
          <w:rFonts w:ascii="Times New Roman" w:eastAsia="Calibri" w:hAnsi="Times New Roman" w:cs="Times New Roman"/>
          <w:sz w:val="24"/>
          <w:szCs w:val="24"/>
          <w:lang w:val="en-GB"/>
        </w:rPr>
        <w:t xml:space="preserve"> that includes stunted growth in</w:t>
      </w:r>
      <w:r w:rsidRPr="001B0281">
        <w:rPr>
          <w:rFonts w:ascii="Times New Roman" w:eastAsia="Calibri" w:hAnsi="Times New Roman" w:cs="Times New Roman"/>
          <w:sz w:val="24"/>
          <w:szCs w:val="24"/>
          <w:lang w:val="en-GB"/>
        </w:rPr>
        <w:t xml:space="preserve"> children is a global challenge which has been addressed over years </w:t>
      </w:r>
      <w:r w:rsidR="00567B00">
        <w:rPr>
          <w:rFonts w:ascii="Times New Roman" w:eastAsia="Calibri" w:hAnsi="Times New Roman" w:cs="Times New Roman"/>
          <w:sz w:val="24"/>
          <w:szCs w:val="24"/>
          <w:lang w:val="en-GB"/>
        </w:rPr>
        <w:t>through</w:t>
      </w:r>
      <w:r w:rsidR="002962FB">
        <w:rPr>
          <w:rFonts w:ascii="Times New Roman" w:eastAsia="Calibri" w:hAnsi="Times New Roman" w:cs="Times New Roman"/>
          <w:sz w:val="24"/>
          <w:szCs w:val="24"/>
          <w:lang w:val="en-GB"/>
        </w:rPr>
        <w:t xml:space="preserve"> </w:t>
      </w:r>
      <w:r w:rsidR="00567B00">
        <w:rPr>
          <w:rFonts w:ascii="Times New Roman" w:eastAsia="Calibri" w:hAnsi="Times New Roman" w:cs="Times New Roman"/>
          <w:sz w:val="24"/>
          <w:szCs w:val="24"/>
          <w:lang w:val="en-GB"/>
        </w:rPr>
        <w:t>Millennium development g</w:t>
      </w:r>
      <w:r w:rsidR="00335BE4">
        <w:rPr>
          <w:rFonts w:ascii="Times New Roman" w:eastAsia="Calibri" w:hAnsi="Times New Roman" w:cs="Times New Roman"/>
          <w:sz w:val="24"/>
          <w:szCs w:val="24"/>
          <w:lang w:val="en-GB"/>
        </w:rPr>
        <w:t>oal four</w:t>
      </w:r>
      <w:r w:rsidRPr="001B0281">
        <w:rPr>
          <w:rFonts w:ascii="Times New Roman" w:eastAsia="Calibri" w:hAnsi="Times New Roman" w:cs="Times New Roman"/>
          <w:sz w:val="24"/>
          <w:szCs w:val="24"/>
          <w:lang w:val="en-GB"/>
        </w:rPr>
        <w:t xml:space="preserve"> that started in 2000 ended in 2015 of reducing child deaths. It’s now been given a new focus through Sustainable Development Goal 2 that need to be achieved by 2030 of ending hunger, achieve food securi</w:t>
      </w:r>
      <w:r w:rsidR="00D073AA">
        <w:rPr>
          <w:rFonts w:ascii="Times New Roman" w:eastAsia="Calibri" w:hAnsi="Times New Roman" w:cs="Times New Roman"/>
          <w:sz w:val="24"/>
          <w:szCs w:val="24"/>
          <w:lang w:val="en-GB"/>
        </w:rPr>
        <w:t>ty, good nutrition and promote</w:t>
      </w:r>
      <w:r w:rsidRPr="001B0281">
        <w:rPr>
          <w:rFonts w:ascii="Times New Roman" w:eastAsia="Calibri" w:hAnsi="Times New Roman" w:cs="Times New Roman"/>
          <w:sz w:val="24"/>
          <w:szCs w:val="24"/>
          <w:lang w:val="en-GB"/>
        </w:rPr>
        <w:t xml:space="preserve"> agriculture, </w:t>
      </w:r>
      <w:r w:rsidRPr="001B0281">
        <w:rPr>
          <w:rFonts w:ascii="Times New Roman" w:eastAsia="Calibri" w:hAnsi="Times New Roman" w:cs="Times New Roman"/>
          <w:sz w:val="24"/>
          <w:szCs w:val="24"/>
          <w:lang w:val="en-GB"/>
        </w:rPr>
        <w:fldChar w:fldCharType="begin" w:fldLock="1"/>
      </w:r>
      <w:r w:rsidRPr="001B0281">
        <w:rPr>
          <w:rFonts w:ascii="Times New Roman" w:eastAsia="Calibri" w:hAnsi="Times New Roman" w:cs="Times New Roman"/>
          <w:sz w:val="24"/>
          <w:szCs w:val="24"/>
          <w:lang w:val="en-GB"/>
        </w:rPr>
        <w:instrText>ADDIN CSL_CITATION {"citationItems":[{"id":"ITEM-1","itemData":{"DOI":"10.1179/2046905514Y.0000000158","author":[{"dropping-particle":"","family":"Prendergast","given":"Andrew J","non-dropping-particle":"","parse-names":false,"suffix":""},{"dropping-particle":"","family":"Humphrey","given":"Jean H","non-dropping-particle":"","parse-names":false,"suffix":""},{"dropping-particle":"","family":"Prendergast","given":"Andrew J","non-dropping-particle":"","parse-names":false,"suffix":""},{"dropping-particle":"","family":"Humphrey","given":"Jean H","non-dropping-particle":"","parse-names":false,"suffix":""}],"id":"ITEM-1","issue":"May","issued":{"date-parts":[["2017"]]},"title":"Paediatrics and International Child Health The stunting syndrome in developing countries The stunting syndrome in developing countries","type":"article-journal","volume":"9047"},"uris":["http://www.mendeley.com/documents/?uuid=12a282cf-75c2-47fc-97c0-b38c2e02cead"]}],"mendeley":{"formattedCitation":"(Prendergast, Humphrey, Prendergast, &amp; Humphrey, 2017)","manualFormatting":"(Prendergast, &amp; Humphrey, 2017)","plainTextFormattedCitation":"(Prendergast, Humphrey, Prendergast, &amp; Humphrey, 2017)","previouslyFormattedCitation":"(Prendergast, Humphrey, Prendergast, &amp; Humphrey, 2017)"},"properties":{"noteIndex":0},"schema":"https://github.com/citation-style-language/schema/raw/master/csl-citation.json"}</w:instrText>
      </w:r>
      <w:r w:rsidRPr="001B0281">
        <w:rPr>
          <w:rFonts w:ascii="Times New Roman" w:eastAsia="Calibri" w:hAnsi="Times New Roman" w:cs="Times New Roman"/>
          <w:sz w:val="24"/>
          <w:szCs w:val="24"/>
          <w:lang w:val="en-GB"/>
        </w:rPr>
        <w:fldChar w:fldCharType="separate"/>
      </w:r>
      <w:r w:rsidRPr="001B0281">
        <w:rPr>
          <w:rFonts w:ascii="Times New Roman" w:eastAsia="Calibri" w:hAnsi="Times New Roman" w:cs="Times New Roman"/>
          <w:noProof/>
          <w:sz w:val="24"/>
          <w:szCs w:val="24"/>
          <w:lang w:val="en-GB"/>
        </w:rPr>
        <w:t>(Prendergast, &amp; Humphrey, 2017)</w:t>
      </w:r>
      <w:r w:rsidRPr="001B0281">
        <w:rPr>
          <w:rFonts w:ascii="Times New Roman" w:eastAsia="Calibri" w:hAnsi="Times New Roman" w:cs="Times New Roman"/>
          <w:sz w:val="24"/>
          <w:szCs w:val="24"/>
          <w:lang w:val="en-GB"/>
        </w:rPr>
        <w:fldChar w:fldCharType="end"/>
      </w:r>
      <w:r w:rsidRPr="001B0281">
        <w:rPr>
          <w:rFonts w:ascii="Times New Roman" w:eastAsia="Calibri" w:hAnsi="Times New Roman" w:cs="Times New Roman"/>
          <w:sz w:val="24"/>
          <w:szCs w:val="24"/>
          <w:lang w:val="en-GB"/>
        </w:rPr>
        <w:t>.</w:t>
      </w:r>
      <w:r w:rsidR="007A4DC1">
        <w:rPr>
          <w:rFonts w:ascii="Times New Roman" w:eastAsia="Calibri" w:hAnsi="Times New Roman" w:cs="Times New Roman"/>
          <w:sz w:val="24"/>
          <w:szCs w:val="24"/>
          <w:lang w:val="en-GB"/>
        </w:rPr>
        <w:t xml:space="preserve"> </w:t>
      </w:r>
      <w:r w:rsidRPr="001B0281">
        <w:rPr>
          <w:rFonts w:ascii="Times New Roman" w:eastAsia="Calibri" w:hAnsi="Times New Roman" w:cs="Times New Roman"/>
          <w:sz w:val="24"/>
          <w:szCs w:val="24"/>
          <w:lang w:val="en-GB"/>
        </w:rPr>
        <w:t xml:space="preserve">Worldwide stunting </w:t>
      </w:r>
      <w:r w:rsidRPr="001B0281">
        <w:rPr>
          <w:rFonts w:ascii="Times New Roman" w:eastAsia="Calibri" w:hAnsi="Times New Roman" w:cs="Times New Roman"/>
          <w:sz w:val="24"/>
          <w:szCs w:val="24"/>
          <w:lang w:val="en-GB"/>
        </w:rPr>
        <w:lastRenderedPageBreak/>
        <w:t xml:space="preserve">is estimated at 22.2% in 2017 a reduction from 32.6% in 2000. Asian continent had the highest rate estimated at 55% with Africa coming in second at 39%, </w:t>
      </w:r>
      <w:r w:rsidRPr="001B0281">
        <w:rPr>
          <w:rFonts w:ascii="Times New Roman" w:eastAsia="Calibri" w:hAnsi="Times New Roman" w:cs="Times New Roman"/>
          <w:sz w:val="24"/>
          <w:szCs w:val="24"/>
          <w:lang w:val="en-GB"/>
        </w:rPr>
        <w:fldChar w:fldCharType="begin" w:fldLock="1"/>
      </w:r>
      <w:r w:rsidR="00667690">
        <w:rPr>
          <w:rFonts w:ascii="Times New Roman" w:eastAsia="Calibri" w:hAnsi="Times New Roman" w:cs="Times New Roman"/>
          <w:sz w:val="24"/>
          <w:szCs w:val="24"/>
          <w:lang w:val="en-GB"/>
        </w:rPr>
        <w:instrText>ADDIN CSL_CITATION {"citationItems":[{"id":"ITEM-1","itemData":{"DOI":"10.1016/S0266-6138(96)90067-4","ISBN":"978 92 4 150451 5","ISSN":"02666138","PMID":"15003161","abstract":"17.5 million 83.6 million 35.0 million 9.7 million 58.7 million 13.8 million 1.7 million 0.5 million 0.1 million 3.9 million 5.1 million 0.7 million 0.1 million 0.5 million 0.1 million These new estimates supersede former analyses and results published by UNICEF, WHO and the World Bank Group. Stunting affected an estimated 22.2 per cent or 150.8 million children under 5 globally in 2017. In 2017, wasting continued to threaten the lives of an estimated 7.5 per cent or 50.5 million children under 5 globally. An estimated 5.6 per cent or 38.3 million children under 5 around the world were overweight in 2017.","author":[{"dropping-particle":"","family":"United Nations Children’s Fund (UNICEF) World Health Organization","given":"","non-dropping-particle":"","parse-names":false,"suffix":""},{"dropping-particle":"","family":"International Bank for Reconstruction and Development/The World Bank","given":"","non-dropping-particle":"","parse-names":false,"suffix":""}],"id":"ITEM-1","issued":{"date-parts":[["2018"]]},"page":"1-16","title":"Levels and trends in child malnutrition: key findings of the 2018 Edition of the Joint Child Malnutrition Estimates","type":"article-journal"},"uris":["http://www.mendeley.com/documents/?uuid=1cb54688-b647-4e6c-b702-344d4ac3a5b4","http://www.mendeley.com/documents/?uuid=babfb9cd-90db-42d7-bdbd-80ad68095c51"]}],"mendeley":{"formattedCitation":"(United Nations Children’s Fund (UNICEF) World Health Organization &amp; International Bank for Reconstruction and Development/The World Bank, 2018)","manualFormatting":"(UNICEF, WHO, IBRD and Development/The World Bank, 2018)","plainTextFormattedCitation":"(United Nations Children’s Fund (UNICEF) World Health Organization &amp; International Bank for Reconstruction and Development/The World Bank, 2018)","previouslyFormattedCitation":"(United Nations Children’s Fund (UNICEF) World Health Organization &amp; International Bank for Reconstruction and Development/The World Bank, 2018)"},"properties":{"noteIndex":0},"schema":"https://github.com/citation-style-language/schema/raw/master/csl-citation.json"}</w:instrText>
      </w:r>
      <w:r w:rsidRPr="001B0281">
        <w:rPr>
          <w:rFonts w:ascii="Times New Roman" w:eastAsia="Calibri" w:hAnsi="Times New Roman" w:cs="Times New Roman"/>
          <w:sz w:val="24"/>
          <w:szCs w:val="24"/>
          <w:lang w:val="en-GB"/>
        </w:rPr>
        <w:fldChar w:fldCharType="separate"/>
      </w:r>
      <w:r w:rsidRPr="001B0281">
        <w:rPr>
          <w:rFonts w:ascii="Times New Roman" w:eastAsia="Calibri" w:hAnsi="Times New Roman" w:cs="Times New Roman"/>
          <w:noProof/>
          <w:sz w:val="24"/>
          <w:szCs w:val="24"/>
          <w:lang w:val="en-GB"/>
        </w:rPr>
        <w:t>(UNICEF, WHO, IBRD and Development/The World Bank, 2018)</w:t>
      </w:r>
      <w:r w:rsidRPr="001B0281">
        <w:rPr>
          <w:rFonts w:ascii="Times New Roman" w:eastAsia="Calibri" w:hAnsi="Times New Roman" w:cs="Times New Roman"/>
          <w:sz w:val="24"/>
          <w:szCs w:val="24"/>
          <w:lang w:val="en-GB"/>
        </w:rPr>
        <w:fldChar w:fldCharType="end"/>
      </w:r>
      <w:r w:rsidRPr="001B0281">
        <w:rPr>
          <w:rFonts w:ascii="Times New Roman" w:eastAsia="Calibri" w:hAnsi="Times New Roman" w:cs="Times New Roman"/>
          <w:sz w:val="24"/>
          <w:szCs w:val="24"/>
          <w:lang w:val="en-GB"/>
        </w:rPr>
        <w:t xml:space="preserve">. </w:t>
      </w:r>
    </w:p>
    <w:p w:rsidR="002962FB" w:rsidRDefault="002962FB" w:rsidP="00711048">
      <w:pPr>
        <w:autoSpaceDE w:val="0"/>
        <w:autoSpaceDN w:val="0"/>
        <w:adjustRightInd w:val="0"/>
        <w:spacing w:after="0" w:line="360" w:lineRule="auto"/>
        <w:jc w:val="both"/>
        <w:rPr>
          <w:rFonts w:ascii="Times New Roman" w:eastAsia="Calibri" w:hAnsi="Times New Roman" w:cs="Times New Roman"/>
          <w:sz w:val="24"/>
          <w:szCs w:val="24"/>
          <w:lang w:val="en-GB"/>
        </w:rPr>
      </w:pPr>
    </w:p>
    <w:p w:rsidR="00266B58" w:rsidRDefault="00603854" w:rsidP="00711048">
      <w:pPr>
        <w:autoSpaceDE w:val="0"/>
        <w:autoSpaceDN w:val="0"/>
        <w:adjustRightInd w:val="0"/>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WHO</w:t>
      </w:r>
      <w:r w:rsidR="002962FB" w:rsidRPr="001B0281">
        <w:rPr>
          <w:rFonts w:ascii="Times New Roman" w:eastAsia="Calibri" w:hAnsi="Times New Roman" w:cs="Times New Roman"/>
          <w:sz w:val="24"/>
          <w:szCs w:val="24"/>
          <w:lang w:val="en-GB"/>
        </w:rPr>
        <w:t xml:space="preserve"> defines stunting as height for age of less than -2 Z score. This are derived from the measure of height for age for boys and girls, </w:t>
      </w:r>
      <w:r w:rsidR="002962FB" w:rsidRPr="001B0281">
        <w:rPr>
          <w:rFonts w:ascii="Times New Roman" w:eastAsia="Calibri" w:hAnsi="Times New Roman" w:cs="Times New Roman"/>
          <w:sz w:val="24"/>
          <w:szCs w:val="24"/>
          <w:lang w:val="en-GB"/>
        </w:rPr>
        <w:fldChar w:fldCharType="begin" w:fldLock="1"/>
      </w:r>
      <w:r w:rsidR="002962FB" w:rsidRPr="001B0281">
        <w:rPr>
          <w:rFonts w:ascii="Times New Roman" w:eastAsia="Calibri" w:hAnsi="Times New Roman" w:cs="Times New Roman"/>
          <w:sz w:val="24"/>
          <w:szCs w:val="24"/>
          <w:lang w:val="en-GB"/>
        </w:rPr>
        <w:instrText>ADDIN CSL_CITATION {"citationItems":[{"id":"ITEM-1","itemData":{"id":"ITEM-1","issued":{"date-parts":[["0"]]},"title":"WHO Child Growth Standards","type":"article-journal"},"uris":["http://www.mendeley.com/documents/?uuid=2a77726a-cfb9-4d6a-ad3b-32cf4470166d"]}],"mendeley":{"formattedCitation":"(“WHO Child Growth Standards,” n.d.)","manualFormatting":"(“WHO Child Growth Standards,” 2006.)","plainTextFormattedCitation":"(“WHO Child Growth Standards,” n.d.)","previouslyFormattedCitation":"(“WHO Child Growth Standards,” n.d.)"},"properties":{"noteIndex":0},"schema":"https://github.com/citation-style-language/schema/raw/master/csl-citation.json"}</w:instrText>
      </w:r>
      <w:r w:rsidR="002962FB" w:rsidRPr="001B0281">
        <w:rPr>
          <w:rFonts w:ascii="Times New Roman" w:eastAsia="Calibri" w:hAnsi="Times New Roman" w:cs="Times New Roman"/>
          <w:sz w:val="24"/>
          <w:szCs w:val="24"/>
          <w:lang w:val="en-GB"/>
        </w:rPr>
        <w:fldChar w:fldCharType="separate"/>
      </w:r>
      <w:r w:rsidR="002962FB" w:rsidRPr="001B0281">
        <w:rPr>
          <w:rFonts w:ascii="Times New Roman" w:eastAsia="Calibri" w:hAnsi="Times New Roman" w:cs="Times New Roman"/>
          <w:noProof/>
          <w:sz w:val="24"/>
          <w:szCs w:val="24"/>
          <w:lang w:val="en-GB"/>
        </w:rPr>
        <w:t>(“WH</w:t>
      </w:r>
      <w:r w:rsidR="00567B00">
        <w:rPr>
          <w:rFonts w:ascii="Times New Roman" w:eastAsia="Calibri" w:hAnsi="Times New Roman" w:cs="Times New Roman"/>
          <w:noProof/>
          <w:sz w:val="24"/>
          <w:szCs w:val="24"/>
          <w:lang w:val="en-GB"/>
        </w:rPr>
        <w:t>O Child Growth Standards,” 2006</w:t>
      </w:r>
      <w:r w:rsidR="002962FB" w:rsidRPr="001B0281">
        <w:rPr>
          <w:rFonts w:ascii="Times New Roman" w:eastAsia="Calibri" w:hAnsi="Times New Roman" w:cs="Times New Roman"/>
          <w:noProof/>
          <w:sz w:val="24"/>
          <w:szCs w:val="24"/>
          <w:lang w:val="en-GB"/>
        </w:rPr>
        <w:t>)</w:t>
      </w:r>
      <w:r w:rsidR="002962FB" w:rsidRPr="001B0281">
        <w:rPr>
          <w:rFonts w:ascii="Times New Roman" w:eastAsia="Calibri" w:hAnsi="Times New Roman" w:cs="Times New Roman"/>
          <w:sz w:val="24"/>
          <w:szCs w:val="24"/>
          <w:lang w:val="en-GB"/>
        </w:rPr>
        <w:fldChar w:fldCharType="end"/>
      </w:r>
      <w:r w:rsidR="002962FB" w:rsidRPr="001B0281">
        <w:rPr>
          <w:rFonts w:ascii="Times New Roman" w:eastAsia="Calibri" w:hAnsi="Times New Roman" w:cs="Times New Roman"/>
          <w:sz w:val="24"/>
          <w:szCs w:val="24"/>
          <w:lang w:val="en-GB"/>
        </w:rPr>
        <w:t>. It’s also been defined as a failure to attain growth both physically and cognitively with effects that last for a life time. In a systematic analysis, it was co</w:t>
      </w:r>
      <w:r w:rsidR="00284E46">
        <w:rPr>
          <w:rFonts w:ascii="Times New Roman" w:eastAsia="Calibri" w:hAnsi="Times New Roman" w:cs="Times New Roman"/>
          <w:sz w:val="24"/>
          <w:szCs w:val="24"/>
          <w:lang w:val="en-GB"/>
        </w:rPr>
        <w:t xml:space="preserve">ncluded that the most likely period for stunting to occur </w:t>
      </w:r>
      <w:r>
        <w:rPr>
          <w:rFonts w:ascii="Times New Roman" w:eastAsia="Calibri" w:hAnsi="Times New Roman" w:cs="Times New Roman"/>
          <w:sz w:val="24"/>
          <w:szCs w:val="24"/>
          <w:lang w:val="en-GB"/>
        </w:rPr>
        <w:t>a</w:t>
      </w:r>
      <w:r w:rsidR="002962FB" w:rsidRPr="001B0281">
        <w:rPr>
          <w:rFonts w:ascii="Times New Roman" w:eastAsia="Calibri" w:hAnsi="Times New Roman" w:cs="Times New Roman"/>
          <w:sz w:val="24"/>
          <w:szCs w:val="24"/>
          <w:lang w:val="en-GB"/>
        </w:rPr>
        <w:t>s the first 1000 days of a child’s life starting from con</w:t>
      </w:r>
      <w:r w:rsidR="00284E46">
        <w:rPr>
          <w:rFonts w:ascii="Times New Roman" w:eastAsia="Calibri" w:hAnsi="Times New Roman" w:cs="Times New Roman"/>
          <w:sz w:val="24"/>
          <w:szCs w:val="24"/>
          <w:lang w:val="en-GB"/>
        </w:rPr>
        <w:t xml:space="preserve">ception to 2 years of age. Stunting </w:t>
      </w:r>
      <w:r w:rsidR="002962FB" w:rsidRPr="001B0281">
        <w:rPr>
          <w:rFonts w:ascii="Times New Roman" w:eastAsia="Calibri" w:hAnsi="Times New Roman" w:cs="Times New Roman"/>
          <w:sz w:val="24"/>
          <w:szCs w:val="24"/>
          <w:lang w:val="en-GB"/>
        </w:rPr>
        <w:t>occur</w:t>
      </w:r>
      <w:r w:rsidR="00284E46">
        <w:rPr>
          <w:rFonts w:ascii="Times New Roman" w:eastAsia="Calibri" w:hAnsi="Times New Roman" w:cs="Times New Roman"/>
          <w:sz w:val="24"/>
          <w:szCs w:val="24"/>
          <w:lang w:val="en-GB"/>
        </w:rPr>
        <w:t xml:space="preserve">s </w:t>
      </w:r>
      <w:r w:rsidR="002962FB" w:rsidRPr="001B0281">
        <w:rPr>
          <w:rFonts w:ascii="Times New Roman" w:eastAsia="Calibri" w:hAnsi="Times New Roman" w:cs="Times New Roman"/>
          <w:sz w:val="24"/>
          <w:szCs w:val="24"/>
          <w:lang w:val="en-GB"/>
        </w:rPr>
        <w:t>intraut</w:t>
      </w:r>
      <w:r w:rsidR="005C119E">
        <w:rPr>
          <w:rFonts w:ascii="Times New Roman" w:eastAsia="Calibri" w:hAnsi="Times New Roman" w:cs="Times New Roman"/>
          <w:sz w:val="24"/>
          <w:szCs w:val="24"/>
          <w:lang w:val="en-GB"/>
        </w:rPr>
        <w:t>erine due to</w:t>
      </w:r>
      <w:r w:rsidR="00284E46">
        <w:rPr>
          <w:rFonts w:ascii="Times New Roman" w:eastAsia="Calibri" w:hAnsi="Times New Roman" w:cs="Times New Roman"/>
          <w:sz w:val="24"/>
          <w:szCs w:val="24"/>
          <w:lang w:val="en-GB"/>
        </w:rPr>
        <w:t xml:space="preserve"> poor nutrient </w:t>
      </w:r>
      <w:r w:rsidR="002962FB" w:rsidRPr="001B0281">
        <w:rPr>
          <w:rFonts w:ascii="Times New Roman" w:eastAsia="Calibri" w:hAnsi="Times New Roman" w:cs="Times New Roman"/>
          <w:sz w:val="24"/>
          <w:szCs w:val="24"/>
          <w:lang w:val="en-GB"/>
        </w:rPr>
        <w:t>supply to th</w:t>
      </w:r>
      <w:r w:rsidR="005C119E">
        <w:rPr>
          <w:rFonts w:ascii="Times New Roman" w:eastAsia="Calibri" w:hAnsi="Times New Roman" w:cs="Times New Roman"/>
          <w:sz w:val="24"/>
          <w:szCs w:val="24"/>
          <w:lang w:val="en-GB"/>
        </w:rPr>
        <w:t xml:space="preserve">e fetus or after birth </w:t>
      </w:r>
      <w:r w:rsidR="002962FB" w:rsidRPr="001B0281">
        <w:rPr>
          <w:rFonts w:ascii="Times New Roman" w:eastAsia="Calibri" w:hAnsi="Times New Roman" w:cs="Times New Roman"/>
          <w:sz w:val="24"/>
          <w:szCs w:val="24"/>
          <w:lang w:val="en-GB"/>
        </w:rPr>
        <w:t xml:space="preserve">when optimal nutrition is not attained, </w:t>
      </w:r>
      <w:r w:rsidR="002962FB" w:rsidRPr="001B0281">
        <w:rPr>
          <w:rFonts w:ascii="Times New Roman" w:eastAsia="Calibri" w:hAnsi="Times New Roman" w:cs="Times New Roman"/>
          <w:sz w:val="24"/>
          <w:szCs w:val="24"/>
          <w:lang w:val="en-GB"/>
        </w:rPr>
        <w:fldChar w:fldCharType="begin" w:fldLock="1"/>
      </w:r>
      <w:r w:rsidR="002962FB" w:rsidRPr="001B0281">
        <w:rPr>
          <w:rFonts w:ascii="Times New Roman" w:eastAsia="Calibri" w:hAnsi="Times New Roman" w:cs="Times New Roman"/>
          <w:sz w:val="24"/>
          <w:szCs w:val="24"/>
          <w:lang w:val="en-GB"/>
        </w:rPr>
        <w:instrText>ADDIN CSL_CITATION {"citationItems":[{"id":"ITEM-1","itemData":{"DOI":"10.1179/2046905514Y.0000000158","author":[{"dropping-particle":"","family":"Prendergast","given":"Andrew J","non-dropping-particle":"","parse-names":false,"suffix":""},{"dropping-particle":"","family":"Humphrey","given":"Jean H","non-dropping-particle":"","parse-names":false,"suffix":""},{"dropping-particle":"","family":"Prendergast","given":"Andrew J","non-dropping-particle":"","parse-names":false,"suffix":""},{"dropping-particle":"","family":"Humphrey","given":"Jean H","non-dropping-particle":"","parse-names":false,"suffix":""}],"id":"ITEM-1","issue":"May","issued":{"date-parts":[["2017"]]},"title":"Paediatrics and International Child Health The stunting syndrome in developing countries The stunting syndrome in developing countries","type":"article-journal","volume":"9047"},"uris":["http://www.mendeley.com/documents/?uuid=12a282cf-75c2-47fc-97c0-b38c2e02cead"]}],"mendeley":{"formattedCitation":"(Prendergast et al., 2017)","plainTextFormattedCitation":"(Prendergast et al., 2017)","previouslyFormattedCitation":"(Prendergast et al., 2017)"},"properties":{"noteIndex":0},"schema":"https://github.com/citation-style-language/schema/raw/master/csl-citation.json"}</w:instrText>
      </w:r>
      <w:r w:rsidR="002962FB" w:rsidRPr="001B0281">
        <w:rPr>
          <w:rFonts w:ascii="Times New Roman" w:eastAsia="Calibri" w:hAnsi="Times New Roman" w:cs="Times New Roman"/>
          <w:sz w:val="24"/>
          <w:szCs w:val="24"/>
          <w:lang w:val="en-GB"/>
        </w:rPr>
        <w:fldChar w:fldCharType="separate"/>
      </w:r>
      <w:r w:rsidR="002962FB" w:rsidRPr="001B0281">
        <w:rPr>
          <w:rFonts w:ascii="Times New Roman" w:eastAsia="Calibri" w:hAnsi="Times New Roman" w:cs="Times New Roman"/>
          <w:noProof/>
          <w:sz w:val="24"/>
          <w:szCs w:val="24"/>
          <w:lang w:val="en-GB"/>
        </w:rPr>
        <w:t>(Prendergast et al., 2017)</w:t>
      </w:r>
      <w:r w:rsidR="002962FB" w:rsidRPr="001B0281">
        <w:rPr>
          <w:rFonts w:ascii="Times New Roman" w:eastAsia="Calibri" w:hAnsi="Times New Roman" w:cs="Times New Roman"/>
          <w:sz w:val="24"/>
          <w:szCs w:val="24"/>
          <w:lang w:val="en-GB"/>
        </w:rPr>
        <w:fldChar w:fldCharType="end"/>
      </w:r>
      <w:r w:rsidR="002962FB" w:rsidRPr="001B0281">
        <w:rPr>
          <w:rFonts w:ascii="Times New Roman" w:eastAsia="Calibri" w:hAnsi="Times New Roman" w:cs="Times New Roman"/>
          <w:sz w:val="24"/>
          <w:szCs w:val="24"/>
          <w:lang w:val="en-GB"/>
        </w:rPr>
        <w:t>.</w:t>
      </w:r>
      <w:r w:rsidR="00F446B6">
        <w:rPr>
          <w:rFonts w:ascii="Times New Roman" w:eastAsia="Calibri" w:hAnsi="Times New Roman" w:cs="Times New Roman"/>
          <w:sz w:val="24"/>
          <w:szCs w:val="24"/>
          <w:lang w:val="en-GB"/>
        </w:rPr>
        <w:t xml:space="preserve"> Other studies </w:t>
      </w:r>
      <w:r w:rsidR="005C119E">
        <w:rPr>
          <w:rFonts w:ascii="Times New Roman" w:eastAsia="Calibri" w:hAnsi="Times New Roman" w:cs="Times New Roman"/>
          <w:sz w:val="24"/>
          <w:szCs w:val="24"/>
          <w:lang w:val="en-GB"/>
        </w:rPr>
        <w:t>have</w:t>
      </w:r>
      <w:r w:rsidR="002962FB">
        <w:rPr>
          <w:rFonts w:ascii="Times New Roman" w:eastAsia="Calibri" w:hAnsi="Times New Roman" w:cs="Times New Roman"/>
          <w:sz w:val="24"/>
          <w:szCs w:val="24"/>
          <w:lang w:val="en-GB"/>
        </w:rPr>
        <w:t xml:space="preserve"> </w:t>
      </w:r>
      <w:r w:rsidR="005C119E">
        <w:rPr>
          <w:rFonts w:ascii="Times New Roman" w:eastAsia="Calibri" w:hAnsi="Times New Roman" w:cs="Times New Roman"/>
          <w:sz w:val="24"/>
          <w:szCs w:val="24"/>
          <w:lang w:val="en-GB"/>
        </w:rPr>
        <w:t xml:space="preserve">documented the first 1000 days of life as </w:t>
      </w:r>
      <w:r w:rsidR="002962FB" w:rsidRPr="001B0281">
        <w:rPr>
          <w:rFonts w:ascii="Times New Roman" w:eastAsia="Calibri" w:hAnsi="Times New Roman" w:cs="Times New Roman"/>
          <w:sz w:val="24"/>
          <w:szCs w:val="24"/>
          <w:lang w:val="en-GB"/>
        </w:rPr>
        <w:t>the window period in wh</w:t>
      </w:r>
      <w:r w:rsidR="005C119E">
        <w:rPr>
          <w:rFonts w:ascii="Times New Roman" w:eastAsia="Calibri" w:hAnsi="Times New Roman" w:cs="Times New Roman"/>
          <w:sz w:val="24"/>
          <w:szCs w:val="24"/>
          <w:lang w:val="en-GB"/>
        </w:rPr>
        <w:t>ich corrective interventions are</w:t>
      </w:r>
      <w:r w:rsidR="002962FB" w:rsidRPr="001B0281">
        <w:rPr>
          <w:rFonts w:ascii="Times New Roman" w:eastAsia="Calibri" w:hAnsi="Times New Roman" w:cs="Times New Roman"/>
          <w:sz w:val="24"/>
          <w:szCs w:val="24"/>
          <w:lang w:val="en-GB"/>
        </w:rPr>
        <w:t xml:space="preserve"> responsive making this period of growth important in addressing stunting in children, </w:t>
      </w:r>
      <w:r w:rsidR="002962FB" w:rsidRPr="001B0281">
        <w:rPr>
          <w:rFonts w:ascii="Times New Roman" w:eastAsia="Calibri" w:hAnsi="Times New Roman" w:cs="Times New Roman"/>
          <w:sz w:val="24"/>
          <w:szCs w:val="24"/>
          <w:lang w:val="en-GB"/>
        </w:rPr>
        <w:fldChar w:fldCharType="begin" w:fldLock="1"/>
      </w:r>
      <w:r w:rsidR="002962FB" w:rsidRPr="001B0281">
        <w:rPr>
          <w:rFonts w:ascii="Times New Roman" w:eastAsia="Calibri" w:hAnsi="Times New Roman" w:cs="Times New Roman"/>
          <w:sz w:val="24"/>
          <w:szCs w:val="24"/>
          <w:lang w:val="en-GB"/>
        </w:rPr>
        <w:instrText>ADDIN CSL_CITATION {"citationItems":[{"id":"ITEM-1","itemData":{"DOI":"10.1542/peds.2009-1519","ISBN":"1098-4275 (Electronic)\\n0031-4005 (Linking)","ISSN":"0031-4005","PMID":"20156903","abstract":"OBJECTIVE: Our goal was to describe worldwide growth-faltering patterns by using the new World Health Organization (WHO) standards. METHODS: We analyzed information available from the WHO Global Database on Child Growth and Malnutrition, comprising data from national anthropometric surveys from 54 countries. Anthropometric data comprise weight-for-age, length/height-for-age, and weight-for-length/height z scores. The WHO regions were used to aggregate countries: Europe and Central Asia; Latin America and the Caribbean; North Africa and Middle East; South Asia; and sub-Saharan Africa. RESULTS: Sample sizes ranged from 1000 to 47 000 children. Weight for length/height starts slightly above the standard in children aged 1 to 2 months and falters slightly until 9 months of age, picking up after that age and remaining close to the standard thereafter. Weight for age starts close to the standard and falters moderately until reaching approximately -1 z at 24 months and remaining reasonably stable after that. Length/height for age also starts close to the standard and falters dramatically until 24 months, showing noticeable bumps just after 24, 36, and 48 months but otherwise increasing slightly after 24 months. CONCLUSIONS: Comparison of child growth patterns in 54 countries with WHO standards shows that growth faltering in early childhood is even more pronounced than suggested by previous analyses based on the National Center for Health Statistics reference. These findings confirm the need to scale up interventions during the window of opportunity defined by pregnancy and the first 2 years of life, including prevention of low birth weight and appropriate infant feeding practices.","author":[{"dropping-particle":"","family":"Victora","given":"C. G.","non-dropping-particle":"","parse-names":false,"suffix":""},{"dropping-particle":"","family":"Onis","given":"M.","non-dropping-particle":"de","parse-names":false,"suffix":""},{"dropping-particle":"","family":"Hallal","given":"P. C.","non-dropping-particle":"","parse-names":false,"suffix":""},{"dropping-particle":"","family":"Blossner","given":"M.","non-dropping-particle":"","parse-names":false,"suffix":""},{"dropping-particle":"","family":"Shrimpton","given":"R.","non-dropping-particle":"","parse-names":false,"suffix":""}],"container-title":"Pediatrics","id":"ITEM-1","issue":"3","issued":{"date-parts":[["2010"]]},"page":"e473-e480","title":"Worldwide Timing of Growth Faltering: Revisiting Implications for Interventions","type":"article-journal","volume":"125"},"uris":["http://www.mendeley.com/documents/?uuid=8eb93838-f8e5-40fe-b7d5-f9a75df5c16e","http://www.mendeley.com/documents/?uuid=d9c1c7cd-f7c2-473e-90e0-64d7c196cb8f","http://www.mendeley.com/documents/?uuid=08bd9973-6bc3-4a4d-a967-f56379617f61","http://www.mendeley.com/documents/?uuid=8ef3adce-251b-4916-9599-08eeadabb397"]}],"mendeley":{"formattedCitation":"(C. G. Victora et al., 2010)","manualFormatting":"(C. G. Victora,P. C. Hallal, M. Blossner., 2010)","plainTextFormattedCitation":"(C. G. Victora et al., 2010)","previouslyFormattedCitation":"(C. G. Victora et al., 2010)"},"properties":{"noteIndex":0},"schema":"https://github.com/citation-style-language/schema/raw/master/csl-citation.json"}</w:instrText>
      </w:r>
      <w:r w:rsidR="002962FB" w:rsidRPr="001B0281">
        <w:rPr>
          <w:rFonts w:ascii="Times New Roman" w:eastAsia="Calibri" w:hAnsi="Times New Roman" w:cs="Times New Roman"/>
          <w:sz w:val="24"/>
          <w:szCs w:val="24"/>
          <w:lang w:val="en-GB"/>
        </w:rPr>
        <w:fldChar w:fldCharType="separate"/>
      </w:r>
      <w:r w:rsidR="002962FB" w:rsidRPr="001B0281">
        <w:rPr>
          <w:rFonts w:ascii="Times New Roman" w:eastAsia="Calibri" w:hAnsi="Times New Roman" w:cs="Times New Roman"/>
          <w:noProof/>
          <w:sz w:val="24"/>
          <w:szCs w:val="24"/>
          <w:lang w:val="en-GB"/>
        </w:rPr>
        <w:t>(C. G. Victora,P. C. Hallal, M. Blossner., 2010)</w:t>
      </w:r>
      <w:r w:rsidR="002962FB" w:rsidRPr="001B0281">
        <w:rPr>
          <w:rFonts w:ascii="Times New Roman" w:eastAsia="Calibri" w:hAnsi="Times New Roman" w:cs="Times New Roman"/>
          <w:sz w:val="24"/>
          <w:szCs w:val="24"/>
          <w:lang w:val="en-GB"/>
        </w:rPr>
        <w:fldChar w:fldCharType="end"/>
      </w:r>
      <w:r w:rsidR="002962FB" w:rsidRPr="001B0281">
        <w:rPr>
          <w:rFonts w:ascii="Times New Roman" w:eastAsia="Calibri" w:hAnsi="Times New Roman" w:cs="Times New Roman"/>
          <w:sz w:val="24"/>
          <w:szCs w:val="24"/>
          <w:lang w:val="en-GB"/>
        </w:rPr>
        <w:t xml:space="preserve">. </w:t>
      </w:r>
    </w:p>
    <w:p w:rsidR="00266B58" w:rsidRDefault="00266B58" w:rsidP="00711048">
      <w:pPr>
        <w:autoSpaceDE w:val="0"/>
        <w:autoSpaceDN w:val="0"/>
        <w:adjustRightInd w:val="0"/>
        <w:spacing w:after="0" w:line="360" w:lineRule="auto"/>
        <w:jc w:val="both"/>
        <w:rPr>
          <w:rFonts w:ascii="Times New Roman" w:eastAsia="Calibri" w:hAnsi="Times New Roman" w:cs="Times New Roman"/>
          <w:sz w:val="24"/>
          <w:szCs w:val="24"/>
          <w:lang w:val="en-GB"/>
        </w:rPr>
      </w:pPr>
    </w:p>
    <w:p w:rsidR="002962FB" w:rsidRDefault="002962FB" w:rsidP="00711048">
      <w:pPr>
        <w:autoSpaceDE w:val="0"/>
        <w:autoSpaceDN w:val="0"/>
        <w:adjustRightInd w:val="0"/>
        <w:spacing w:after="0" w:line="360" w:lineRule="auto"/>
        <w:jc w:val="both"/>
        <w:rPr>
          <w:rFonts w:ascii="Times New Roman" w:eastAsia="Calibri" w:hAnsi="Times New Roman" w:cs="Times New Roman"/>
          <w:sz w:val="24"/>
          <w:szCs w:val="24"/>
          <w:lang w:val="en-GB"/>
        </w:rPr>
      </w:pPr>
      <w:r w:rsidRPr="001B0281">
        <w:rPr>
          <w:rFonts w:ascii="Times New Roman" w:eastAsia="Calibri" w:hAnsi="Times New Roman" w:cs="Times New Roman"/>
          <w:sz w:val="24"/>
          <w:szCs w:val="24"/>
          <w:lang w:val="en-GB"/>
        </w:rPr>
        <w:fldChar w:fldCharType="begin" w:fldLock="1"/>
      </w:r>
      <w:r w:rsidRPr="001B0281">
        <w:rPr>
          <w:rFonts w:ascii="Times New Roman" w:eastAsia="Calibri" w:hAnsi="Times New Roman" w:cs="Times New Roman"/>
          <w:sz w:val="24"/>
          <w:szCs w:val="24"/>
          <w:lang w:val="en-GB"/>
        </w:rPr>
        <w:instrText>ADDIN CSL_CITATION {"citationItems":[{"id":"ITEM-1","itemData":{"author":[{"dropping-particle":"","family":"Dewey","given":"Kathryn G","non-dropping-particle":"","parse-names":false,"suffix":""},{"dropping-particle":"","family":"Adu-afarwuah","given":"Seth","non-dropping-particle":"","parse-names":false,"suffix":""}],"id":"ITEM-1","issued":{"date-parts":[["2008"]]},"page":"24-85","title":"Review Article Systematic review of the efficacy and effectiveness of complementary feeding interventions in developing countries","type":"article-journal"},"uris":["http://www.mendeley.com/documents/?uuid=32743658-a64f-4cdc-9e8d-09526eb622a7","http://www.mendeley.com/documents/?uuid=8b5ced05-11ae-4b94-9eef-02cddce4cc29","http://www.mendeley.com/documents/?uuid=d7b194b1-3f28-45f2-b74b-cc9a79462b26","http://www.mendeley.com/documents/?uuid=6c00aa2c-992c-4da2-b8df-8e9f785d962f"]}],"mendeley":{"formattedCitation":"(Dewey &amp; Adu-afarwuah, 2008)","manualFormatting":"K. G. Dewey &amp; Adu-afarwuah, (2008","plainTextFormattedCitation":"(Dewey &amp; Adu-afarwuah, 2008)","previouslyFormattedCitation":"(Dewey &amp; Adu-afarwuah, 2008)"},"properties":{"noteIndex":0},"schema":"https://github.com/citation-style-language/schema/raw/master/csl-citation.json"}</w:instrText>
      </w:r>
      <w:r w:rsidRPr="001B0281">
        <w:rPr>
          <w:rFonts w:ascii="Times New Roman" w:eastAsia="Calibri" w:hAnsi="Times New Roman" w:cs="Times New Roman"/>
          <w:sz w:val="24"/>
          <w:szCs w:val="24"/>
          <w:lang w:val="en-GB"/>
        </w:rPr>
        <w:fldChar w:fldCharType="separate"/>
      </w:r>
      <w:r w:rsidRPr="001B0281">
        <w:rPr>
          <w:rFonts w:ascii="Times New Roman" w:eastAsia="Calibri" w:hAnsi="Times New Roman" w:cs="Times New Roman"/>
          <w:noProof/>
          <w:sz w:val="24"/>
          <w:szCs w:val="24"/>
          <w:lang w:val="en-GB"/>
        </w:rPr>
        <w:t>K. G. Dewey &amp; Adu-afarwuah, (2008</w:t>
      </w:r>
      <w:r w:rsidRPr="001B0281">
        <w:rPr>
          <w:rFonts w:ascii="Times New Roman" w:eastAsia="Calibri" w:hAnsi="Times New Roman" w:cs="Times New Roman"/>
          <w:sz w:val="24"/>
          <w:szCs w:val="24"/>
          <w:lang w:val="en-GB"/>
        </w:rPr>
        <w:fldChar w:fldCharType="end"/>
      </w:r>
      <w:r w:rsidRPr="001B0281">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in a </w:t>
      </w:r>
      <w:r w:rsidRPr="001B0281">
        <w:rPr>
          <w:rFonts w:ascii="Times New Roman" w:eastAsia="Calibri" w:hAnsi="Times New Roman" w:cs="Times New Roman"/>
          <w:sz w:val="24"/>
          <w:szCs w:val="24"/>
          <w:lang w:val="en-GB"/>
        </w:rPr>
        <w:t>review of studies on complimen</w:t>
      </w:r>
      <w:r w:rsidR="00567B00">
        <w:rPr>
          <w:rFonts w:ascii="Times New Roman" w:eastAsia="Calibri" w:hAnsi="Times New Roman" w:cs="Times New Roman"/>
          <w:sz w:val="24"/>
          <w:szCs w:val="24"/>
          <w:lang w:val="en-GB"/>
        </w:rPr>
        <w:t>tary feeding found</w:t>
      </w:r>
      <w:r w:rsidR="00603854">
        <w:rPr>
          <w:rFonts w:ascii="Times New Roman" w:eastAsia="Calibri" w:hAnsi="Times New Roman" w:cs="Times New Roman"/>
          <w:sz w:val="24"/>
          <w:szCs w:val="24"/>
          <w:lang w:val="en-GB"/>
        </w:rPr>
        <w:t xml:space="preserve"> </w:t>
      </w:r>
      <w:r w:rsidR="005C119E">
        <w:rPr>
          <w:rFonts w:ascii="Times New Roman" w:eastAsia="Calibri" w:hAnsi="Times New Roman" w:cs="Times New Roman"/>
          <w:sz w:val="24"/>
          <w:szCs w:val="24"/>
          <w:lang w:val="en-GB"/>
        </w:rPr>
        <w:t xml:space="preserve">that </w:t>
      </w:r>
      <w:r w:rsidRPr="001B0281">
        <w:rPr>
          <w:rFonts w:ascii="Times New Roman" w:eastAsia="Calibri" w:hAnsi="Times New Roman" w:cs="Times New Roman"/>
          <w:sz w:val="24"/>
          <w:szCs w:val="24"/>
          <w:lang w:val="en-GB"/>
        </w:rPr>
        <w:t>age</w:t>
      </w:r>
      <w:r>
        <w:rPr>
          <w:rFonts w:ascii="Times New Roman" w:eastAsia="Calibri" w:hAnsi="Times New Roman" w:cs="Times New Roman"/>
          <w:sz w:val="24"/>
          <w:szCs w:val="24"/>
          <w:lang w:val="en-GB"/>
        </w:rPr>
        <w:t>s</w:t>
      </w:r>
      <w:r w:rsidRPr="001B0281">
        <w:rPr>
          <w:rFonts w:ascii="Times New Roman" w:eastAsia="Calibri" w:hAnsi="Times New Roman" w:cs="Times New Roman"/>
          <w:sz w:val="24"/>
          <w:szCs w:val="24"/>
          <w:lang w:val="en-GB"/>
        </w:rPr>
        <w:t xml:space="preserve"> 6 to 24 months had the highest</w:t>
      </w:r>
      <w:r w:rsidR="00567B00">
        <w:rPr>
          <w:rFonts w:ascii="Times New Roman" w:eastAsia="Calibri" w:hAnsi="Times New Roman" w:cs="Times New Roman"/>
          <w:sz w:val="24"/>
          <w:szCs w:val="24"/>
          <w:lang w:val="en-GB"/>
        </w:rPr>
        <w:t xml:space="preserve"> occurrence of growth faltering</w:t>
      </w:r>
      <w:r w:rsidRPr="001B0281">
        <w:rPr>
          <w:rFonts w:ascii="Times New Roman" w:eastAsia="Calibri" w:hAnsi="Times New Roman" w:cs="Times New Roman"/>
          <w:sz w:val="24"/>
          <w:szCs w:val="24"/>
          <w:lang w:val="en-GB"/>
        </w:rPr>
        <w:t xml:space="preserve"> </w:t>
      </w:r>
      <w:r w:rsidR="00567B00">
        <w:rPr>
          <w:rFonts w:ascii="Times New Roman" w:eastAsia="Calibri" w:hAnsi="Times New Roman" w:cs="Times New Roman"/>
          <w:sz w:val="24"/>
          <w:szCs w:val="24"/>
          <w:lang w:val="en-GB"/>
        </w:rPr>
        <w:t xml:space="preserve">and </w:t>
      </w:r>
      <w:r w:rsidRPr="001B0281">
        <w:rPr>
          <w:rFonts w:ascii="Times New Roman" w:eastAsia="Calibri" w:hAnsi="Times New Roman" w:cs="Times New Roman"/>
          <w:sz w:val="24"/>
          <w:szCs w:val="24"/>
          <w:lang w:val="en-GB"/>
        </w:rPr>
        <w:t>micronut</w:t>
      </w:r>
      <w:r w:rsidR="00567B00">
        <w:rPr>
          <w:rFonts w:ascii="Times New Roman" w:eastAsia="Calibri" w:hAnsi="Times New Roman" w:cs="Times New Roman"/>
          <w:sz w:val="24"/>
          <w:szCs w:val="24"/>
          <w:lang w:val="en-GB"/>
        </w:rPr>
        <w:t>rient deficiencies</w:t>
      </w:r>
      <w:r w:rsidRPr="001B0281">
        <w:rPr>
          <w:rFonts w:ascii="Times New Roman" w:eastAsia="Calibri" w:hAnsi="Times New Roman" w:cs="Times New Roman"/>
          <w:sz w:val="24"/>
          <w:szCs w:val="24"/>
          <w:lang w:val="en-GB"/>
        </w:rPr>
        <w:t>. They also concluded that it was difficult after 2 years to reverse the growth retardati</w:t>
      </w:r>
      <w:r w:rsidR="003074D1">
        <w:rPr>
          <w:rFonts w:ascii="Times New Roman" w:eastAsia="Calibri" w:hAnsi="Times New Roman" w:cs="Times New Roman"/>
          <w:sz w:val="24"/>
          <w:szCs w:val="24"/>
          <w:lang w:val="en-GB"/>
        </w:rPr>
        <w:t>on that occurred in height</w:t>
      </w:r>
      <w:r w:rsidRPr="001B0281">
        <w:rPr>
          <w:rFonts w:ascii="Times New Roman" w:eastAsia="Calibri" w:hAnsi="Times New Roman" w:cs="Times New Roman"/>
          <w:sz w:val="24"/>
          <w:szCs w:val="24"/>
          <w:lang w:val="en-GB"/>
        </w:rPr>
        <w:t xml:space="preserve">, brain </w:t>
      </w:r>
      <w:r w:rsidR="00266B58">
        <w:rPr>
          <w:rFonts w:ascii="Times New Roman" w:eastAsia="Calibri" w:hAnsi="Times New Roman" w:cs="Times New Roman"/>
          <w:sz w:val="24"/>
          <w:szCs w:val="24"/>
          <w:lang w:val="en-GB"/>
        </w:rPr>
        <w:t xml:space="preserve">and other functional and metabolic impairments predisposing the individuals to </w:t>
      </w:r>
      <w:r w:rsidR="00266B58" w:rsidRPr="004E5A1B">
        <w:rPr>
          <w:rFonts w:ascii="Times New Roman" w:eastAsia="Calibri" w:hAnsi="Times New Roman" w:cs="Times New Roman"/>
          <w:sz w:val="24"/>
          <w:szCs w:val="24"/>
          <w:lang w:val="en-GB"/>
        </w:rPr>
        <w:t>diabetes, hypertension and cardiac diseases</w:t>
      </w:r>
      <w:r w:rsidR="00266B58">
        <w:rPr>
          <w:rFonts w:ascii="Times New Roman" w:eastAsia="Calibri" w:hAnsi="Times New Roman" w:cs="Times New Roman"/>
          <w:sz w:val="24"/>
          <w:szCs w:val="24"/>
          <w:lang w:val="en-GB"/>
        </w:rPr>
        <w:t xml:space="preserve"> in adulthood, </w:t>
      </w:r>
      <w:r w:rsidR="00266B58" w:rsidRPr="004E5A1B">
        <w:rPr>
          <w:rFonts w:ascii="Times New Roman" w:eastAsia="Calibri" w:hAnsi="Times New Roman" w:cs="Times New Roman"/>
          <w:sz w:val="24"/>
          <w:szCs w:val="24"/>
          <w:lang w:val="en-GB"/>
        </w:rPr>
        <w:fldChar w:fldCharType="begin" w:fldLock="1"/>
      </w:r>
      <w:r w:rsidR="00266B58">
        <w:rPr>
          <w:rFonts w:ascii="Times New Roman" w:eastAsia="Calibri" w:hAnsi="Times New Roman" w:cs="Times New Roman"/>
          <w:sz w:val="24"/>
          <w:szCs w:val="24"/>
          <w:lang w:val="en-GB"/>
        </w:rPr>
        <w:instrText>ADDIN CSL_CITATION {"citationItems":[{"id":"ITEM-1","itemData":{"DOI":"10.1177/0379572117701660","ISBN":"0379572117","ISSN":"03795721","PMID":"28438035","abstract":"BACKGROUND: Substantial evidence is emerging on the coexistence of double burden of malnutrition on adolescents of low-income countries, shaping the health challenges of the upcoming adult generation for the worst. Whether nutritional status markers of adolescents in the cash crop setting are on par with economic gains remains uncertain. Thus, we investigated the nutritional outcomes of adolescents and their determinants in coffee farming households. METHODS: The survey was carried out in 3 top coffee-producing districts of Jimma Zone, Ethiopia. Five hundred fifty mothers/caregivers and their respective adolescents were selected using multistage random sampling. Anthropometric data were converted into height-for-age and body-mass-index-for-age Z scores using WHO Anthroplus software and analyzed by SPSS for windows. RESULTS: Prevalence of thinness, stunting, and overweight/obesity were 11.6%, 15.6%, and 7.1%, respectively. The odds of stunting among adolescents in households in the lowest wealth tertile was nearly 6-fold higher compared to the highest tertile (adjusted odds ratio [AOR] = 5.6 [2.6-12]). Conversely, the odds of overweight/obesity was higher among adolescents in the households in the middle wealth tertile (AOR = 2.72 [1.08-6.86]) compared to the highest tertile. Adolescents living in households with low-dependent age-groups were more than twice likely to be overweight/obese (AOR = 2.58 [1.06-6.24]). CONCLUSION: The current study revealed the presence of substantial dual burden of malnutrition. In such a setting, it is critical to draw a fine line and trade-off for eliminating morbidity and mortality of undernutrition, without triggering the risk of overweight/obesity.","author":[{"dropping-particle":"","family":"Hassen","given":"Kalkidan","non-dropping-particle":"","parse-names":false,"suffix":""},{"dropping-particle":"","family":"Gizaw","given":"Getu","non-dropping-particle":"","parse-names":false,"suffix":""},{"dropping-particle":"","family":"Belachew","given":"Tefera","non-dropping-particle":"","parse-names":false,"suffix":""}],"container-title":"Food and Nutrition Bulletin","id":"ITEM-1","issue":"2","issued":{"date-parts":[["2017"]]},"page":"196-208","title":"Dual Burden of Malnutrition among Adolescents of Smallholder Coffee Farming Households of Jimma Zone, Southwest Ethiopia","type":"article-journal","volume":"38"},"uris":["http://www.mendeley.com/documents/?uuid=dd97bf01-62e4-47e6-84f2-69d64d5b5cf8"]}],"mendeley":{"formattedCitation":"(Hassen, Gizaw, &amp; Belachew, 2017)","manualFormatting":"(Hassen, Gizaw, Belachew, 2017","plainTextFormattedCitation":"(Hassen, Gizaw, &amp; Belachew, 2017)","previouslyFormattedCitation":"(Hassen, Gizaw, &amp; Belachew, 2017)"},"properties":{"noteIndex":0},"schema":"https://github.com/citation-style-language/schema/raw/master/csl-citation.json"}</w:instrText>
      </w:r>
      <w:r w:rsidR="00266B58" w:rsidRPr="004E5A1B">
        <w:rPr>
          <w:rFonts w:ascii="Times New Roman" w:eastAsia="Calibri" w:hAnsi="Times New Roman" w:cs="Times New Roman"/>
          <w:sz w:val="24"/>
          <w:szCs w:val="24"/>
          <w:lang w:val="en-GB"/>
        </w:rPr>
        <w:fldChar w:fldCharType="separate"/>
      </w:r>
      <w:r w:rsidR="00266B58">
        <w:rPr>
          <w:rFonts w:ascii="Times New Roman" w:eastAsia="Calibri" w:hAnsi="Times New Roman" w:cs="Times New Roman"/>
          <w:noProof/>
          <w:sz w:val="24"/>
          <w:szCs w:val="24"/>
          <w:lang w:val="en-GB"/>
        </w:rPr>
        <w:t>(Hassen, Gizaw,</w:t>
      </w:r>
      <w:r w:rsidR="00266B58" w:rsidRPr="004E5A1B">
        <w:rPr>
          <w:rFonts w:ascii="Times New Roman" w:eastAsia="Calibri" w:hAnsi="Times New Roman" w:cs="Times New Roman"/>
          <w:noProof/>
          <w:sz w:val="24"/>
          <w:szCs w:val="24"/>
          <w:lang w:val="en-GB"/>
        </w:rPr>
        <w:t xml:space="preserve"> Belachew, 2017</w:t>
      </w:r>
      <w:r w:rsidR="00266B58" w:rsidRPr="004E5A1B">
        <w:rPr>
          <w:rFonts w:ascii="Times New Roman" w:eastAsia="Calibri" w:hAnsi="Times New Roman" w:cs="Times New Roman"/>
          <w:sz w:val="24"/>
          <w:szCs w:val="24"/>
          <w:lang w:val="en-GB"/>
        </w:rPr>
        <w:fldChar w:fldCharType="end"/>
      </w:r>
      <w:r w:rsidR="00266B58">
        <w:rPr>
          <w:rFonts w:ascii="Times New Roman" w:eastAsia="Calibri" w:hAnsi="Times New Roman" w:cs="Times New Roman"/>
          <w:sz w:val="24"/>
          <w:szCs w:val="24"/>
          <w:lang w:val="en-GB"/>
        </w:rPr>
        <w:t xml:space="preserve"> &amp; </w:t>
      </w:r>
      <w:r w:rsidR="00266B58" w:rsidRPr="004E5A1B">
        <w:rPr>
          <w:rFonts w:ascii="Times New Roman" w:eastAsia="Calibri" w:hAnsi="Times New Roman" w:cs="Times New Roman"/>
          <w:sz w:val="24"/>
          <w:szCs w:val="24"/>
          <w:lang w:val="en-GB"/>
        </w:rPr>
        <w:fldChar w:fldCharType="begin" w:fldLock="1"/>
      </w:r>
      <w:r w:rsidR="00266B58" w:rsidRPr="004E5A1B">
        <w:rPr>
          <w:rFonts w:ascii="Times New Roman" w:eastAsia="Calibri" w:hAnsi="Times New Roman" w:cs="Times New Roman"/>
          <w:sz w:val="24"/>
          <w:szCs w:val="24"/>
          <w:lang w:val="en-GB"/>
        </w:rPr>
        <w:instrText>ADDIN CSL_CITATION {"citationItems":[{"id":"ITEM-1","itemData":{"DOI":"10.1179/2046905514Y.0000000158","author":[{"dropping-particle":"","family":"Prendergast","given":"Andrew J","non-dropping-particle":"","parse-names":false,"suffix":""},{"dropping-particle":"","family":"Humphrey","given":"Jean H","non-dropping-particle":"","parse-names":false,"suffix":""},{"dropping-particle":"","family":"Prendergast","given":"Andrew J","non-dropping-particle":"","parse-names":false,"suffix":""},{"dropping-particle":"","family":"Humphrey","given":"Jean H","non-dropping-particle":"","parse-names":false,"suffix":""}],"id":"ITEM-1","issue":"May","issued":{"date-parts":[["2017"]]},"title":"Paediatrics and International Child Health The stunting syndrome in developing countries The stunting syndrome in developing countries","type":"article-journal","volume":"9047"},"uris":["http://www.mendeley.com/documents/?uuid=12a282cf-75c2-47fc-97c0-b38c2e02cead"]}],"mendeley":{"formattedCitation":"(Prendergast et al., 2017)","manualFormatting":"Prendergast et al., 2017)","plainTextFormattedCitation":"(Prendergast et al., 2017)","previouslyFormattedCitation":"(Prendergast et al., 2017)"},"properties":{"noteIndex":0},"schema":"https://github.com/citation-style-language/schema/raw/master/csl-citation.json"}</w:instrText>
      </w:r>
      <w:r w:rsidR="00266B58" w:rsidRPr="004E5A1B">
        <w:rPr>
          <w:rFonts w:ascii="Times New Roman" w:eastAsia="Calibri" w:hAnsi="Times New Roman" w:cs="Times New Roman"/>
          <w:sz w:val="24"/>
          <w:szCs w:val="24"/>
          <w:lang w:val="en-GB"/>
        </w:rPr>
        <w:fldChar w:fldCharType="separate"/>
      </w:r>
      <w:r w:rsidR="00266B58" w:rsidRPr="004E5A1B">
        <w:rPr>
          <w:rFonts w:ascii="Times New Roman" w:eastAsia="Calibri" w:hAnsi="Times New Roman" w:cs="Times New Roman"/>
          <w:noProof/>
          <w:sz w:val="24"/>
          <w:szCs w:val="24"/>
          <w:lang w:val="en-GB"/>
        </w:rPr>
        <w:t>Prendergast et al., 2017)</w:t>
      </w:r>
      <w:r w:rsidR="00266B58" w:rsidRPr="004E5A1B">
        <w:rPr>
          <w:rFonts w:ascii="Times New Roman" w:eastAsia="Calibri" w:hAnsi="Times New Roman" w:cs="Times New Roman"/>
          <w:sz w:val="24"/>
          <w:szCs w:val="24"/>
          <w:lang w:val="en-GB"/>
        </w:rPr>
        <w:fldChar w:fldCharType="end"/>
      </w:r>
      <w:r w:rsidRPr="001B0281">
        <w:rPr>
          <w:rFonts w:ascii="Times New Roman" w:eastAsia="Calibri" w:hAnsi="Times New Roman" w:cs="Times New Roman"/>
          <w:sz w:val="24"/>
          <w:szCs w:val="24"/>
          <w:lang w:val="en-GB"/>
        </w:rPr>
        <w:t xml:space="preserve">. </w:t>
      </w:r>
      <w:r w:rsidR="00266B58">
        <w:rPr>
          <w:rFonts w:ascii="Times New Roman" w:hAnsi="Times New Roman" w:cs="Times New Roman"/>
          <w:sz w:val="24"/>
          <w:szCs w:val="24"/>
        </w:rPr>
        <w:t xml:space="preserve">Other documented risks </w:t>
      </w:r>
      <w:r w:rsidR="00266B58" w:rsidRPr="002C30B7">
        <w:rPr>
          <w:rFonts w:ascii="Times New Roman" w:hAnsi="Times New Roman" w:cs="Times New Roman"/>
          <w:sz w:val="24"/>
          <w:szCs w:val="24"/>
        </w:rPr>
        <w:t>include high morbidity and mortality due to poor immunity in stunted children</w:t>
      </w:r>
      <w:r w:rsidR="00567B00">
        <w:rPr>
          <w:rFonts w:ascii="Times New Roman" w:hAnsi="Times New Roman" w:cs="Times New Roman"/>
          <w:sz w:val="24"/>
          <w:szCs w:val="24"/>
        </w:rPr>
        <w:t xml:space="preserve">. This has been attributed to </w:t>
      </w:r>
      <w:r w:rsidR="00266B58" w:rsidRPr="002C30B7">
        <w:rPr>
          <w:rFonts w:ascii="Times New Roman" w:hAnsi="Times New Roman" w:cs="Times New Roman"/>
          <w:sz w:val="24"/>
          <w:szCs w:val="24"/>
        </w:rPr>
        <w:t>low fat mass</w:t>
      </w:r>
      <w:r w:rsidR="00567B00">
        <w:rPr>
          <w:rFonts w:ascii="Times New Roman" w:hAnsi="Times New Roman" w:cs="Times New Roman"/>
          <w:sz w:val="24"/>
          <w:szCs w:val="24"/>
        </w:rPr>
        <w:t>, that is a characteristic of stunted</w:t>
      </w:r>
      <w:r w:rsidR="003F21E3">
        <w:rPr>
          <w:rFonts w:ascii="Times New Roman" w:hAnsi="Times New Roman" w:cs="Times New Roman"/>
          <w:sz w:val="24"/>
          <w:szCs w:val="24"/>
        </w:rPr>
        <w:t xml:space="preserve"> children and</w:t>
      </w:r>
      <w:r w:rsidR="00266B58">
        <w:rPr>
          <w:rFonts w:ascii="Times New Roman" w:hAnsi="Times New Roman" w:cs="Times New Roman"/>
          <w:sz w:val="24"/>
          <w:szCs w:val="24"/>
        </w:rPr>
        <w:t xml:space="preserve"> affect</w:t>
      </w:r>
      <w:r w:rsidR="003F21E3">
        <w:rPr>
          <w:rFonts w:ascii="Times New Roman" w:hAnsi="Times New Roman" w:cs="Times New Roman"/>
          <w:sz w:val="24"/>
          <w:szCs w:val="24"/>
        </w:rPr>
        <w:t>s the</w:t>
      </w:r>
      <w:r w:rsidR="00266B58">
        <w:rPr>
          <w:rFonts w:ascii="Times New Roman" w:hAnsi="Times New Roman" w:cs="Times New Roman"/>
          <w:sz w:val="24"/>
          <w:szCs w:val="24"/>
        </w:rPr>
        <w:t xml:space="preserve"> immune response</w:t>
      </w:r>
      <w:r w:rsidR="00266B58" w:rsidRPr="002C30B7">
        <w:rPr>
          <w:rFonts w:ascii="Times New Roman" w:hAnsi="Times New Roman" w:cs="Times New Roman"/>
          <w:sz w:val="24"/>
          <w:szCs w:val="24"/>
        </w:rPr>
        <w:t>,</w:t>
      </w:r>
      <w:r w:rsidR="00266B58">
        <w:rPr>
          <w:rFonts w:ascii="Times New Roman" w:hAnsi="Times New Roman" w:cs="Times New Roman"/>
          <w:sz w:val="24"/>
          <w:szCs w:val="24"/>
        </w:rPr>
        <w:t xml:space="preserve"> </w:t>
      </w:r>
      <w:r w:rsidR="003F21E3">
        <w:rPr>
          <w:rFonts w:ascii="Times New Roman" w:hAnsi="Times New Roman" w:cs="Times New Roman"/>
          <w:sz w:val="24"/>
          <w:szCs w:val="24"/>
        </w:rPr>
        <w:t xml:space="preserve">making stunted children vulnerable to disease, </w:t>
      </w:r>
      <w:r w:rsidR="00266B58" w:rsidRPr="002C30B7">
        <w:rPr>
          <w:rFonts w:ascii="Times New Roman" w:hAnsi="Times New Roman" w:cs="Times New Roman"/>
          <w:sz w:val="24"/>
          <w:szCs w:val="24"/>
        </w:rPr>
        <w:fldChar w:fldCharType="begin" w:fldLock="1"/>
      </w:r>
      <w:r w:rsidR="00266B58">
        <w:rPr>
          <w:rFonts w:ascii="Times New Roman" w:hAnsi="Times New Roman" w:cs="Times New Roman"/>
          <w:sz w:val="24"/>
          <w:szCs w:val="24"/>
        </w:rPr>
        <w:instrText>ADDIN CSL_CITATION {"citationItems":[{"id":"ITEM-1","itemData":{"DOI":"10.1177/15648265150361S103","ISBN":"0379-5721 (Print)\\r0379-5721 (Linking)","ISSN":"03795721","PMID":"25902610","abstract":"Wasting and stunting are often presented as two separate forms of malnutrition requiring different interventions for prevention and/or treatment. These two forms of malnutrition, however, are closely related and often occur together in the same populations and often in the same children. Wasting and stunting are both associated with increased mortality, especially when both are present in the same child. A better understanding of the pathophysiology of these two different forms of malnutrition is needed to design efficient programs. A greatly reduced muscle mass is characteristic of severe wasting, but there is indirect evidence that it also occurs in stunting. A reduced muscle mass increases the risk of death during infections and also in many other different pathological situations. Reduced muscle mass may represent a common mechanism linking wasting and stunting with increased mortality. This suggests that to decrease malnutrition-related mortality, interventions should aim at preventing both wasting and stunting, which often share common causes. Also, this suggests that treatment interventions should focus on children who are both wasted and stunted and therefore have the greatest deficits in muscle mass, instead of focusing on one or the other form of malnutrition. Interventions should also focus on young infants and children, who have a low muscle mass in relation to body weight to start with. Using mid-upper-arm circumference (MUAC) to select children in need of treatment may represent a simple way to target young wasted and stunted children efficiently in situations where these two conditions are present. Wasting is also associated with decreased fat mass. A decreased fat mass is frequent but inconsistent in stunting. Fat secretes multiple hormones, including leptin, which may have a stimulating effect on the immune system. Depressed immunity resulting from low fat stores may also contribute to the increased mortality observed in wasting. This may represent another common mechanism linking wasting and stunting with increased mortality in situations where stunting is associated with reduced fat mass. Leptin may also have an effect on bone growth. This may explain why wasted children with low fat stores have reduced linear growth when their weight-for-height remains low. It may also explain the frequent association of stunting with previous episodes of wasting. Stunting, however, can occur in the absence of wasting and even in overweight children.…","author":[{"dropping-particle":"","family":"Briend","given":"Andr??","non-dropping-particle":"","parse-names":false,"suffix":""},{"dropping-particle":"","family":"Khara","given":"Tanya","non-dropping-particle":"","parse-names":false,"suffix":""},{"dropping-particle":"","family":"Dolan","given":"Carmel","non-dropping-particle":"","parse-names":false,"suffix":""}],"container-title":"Food and Nutrition Bulletin","id":"ITEM-1","issue":"1","issued":{"date-parts":[["2015"]]},"page":"S15-S23","title":"Wasting and stunting-similarities and differences: Policy and programmatic implications","type":"article-journal","volume":"36"},"uris":["http://www.mendeley.com/documents/?uuid=89974b3a-0f08-42f1-b0d1-b46700c11be5","http://www.mendeley.com/documents/?uuid=3d3e328f-2a9e-4a1b-8947-af993d54322f","http://www.mendeley.com/documents/?uuid=9aeacfd3-567a-4f6e-aeae-5ed4dd97c189","http://www.mendeley.com/documents/?uuid=cf0fb3eb-58d6-489a-9355-787d8329b150"]}],"mendeley":{"formattedCitation":"(Briend, Khara, &amp; Dolan, 2015)","manualFormatting":"(Briend, Khara, &amp; Dolan, 2015","plainTextFormattedCitation":"(Briend, Khara, &amp; Dolan, 2015)","previouslyFormattedCitation":"(Briend, Khara, &amp; Dolan, 2015)"},"properties":{"noteIndex":0},"schema":"https://github.com/citation-style-language/schema/raw/master/csl-citation.json"}</w:instrText>
      </w:r>
      <w:r w:rsidR="00266B58" w:rsidRPr="002C30B7">
        <w:rPr>
          <w:rFonts w:ascii="Times New Roman" w:hAnsi="Times New Roman" w:cs="Times New Roman"/>
          <w:sz w:val="24"/>
          <w:szCs w:val="24"/>
        </w:rPr>
        <w:fldChar w:fldCharType="separate"/>
      </w:r>
      <w:r w:rsidR="00266B58" w:rsidRPr="002C30B7">
        <w:rPr>
          <w:rFonts w:ascii="Times New Roman" w:hAnsi="Times New Roman" w:cs="Times New Roman"/>
          <w:noProof/>
          <w:sz w:val="24"/>
          <w:szCs w:val="24"/>
        </w:rPr>
        <w:t>(Briend, Khara, &amp; Dolan, 2015</w:t>
      </w:r>
      <w:r w:rsidR="00266B58" w:rsidRPr="002C30B7">
        <w:rPr>
          <w:rFonts w:ascii="Times New Roman" w:hAnsi="Times New Roman" w:cs="Times New Roman"/>
          <w:sz w:val="24"/>
          <w:szCs w:val="24"/>
        </w:rPr>
        <w:fldChar w:fldCharType="end"/>
      </w:r>
      <w:r w:rsidR="00266B58" w:rsidRPr="002C30B7">
        <w:rPr>
          <w:rFonts w:ascii="Times New Roman" w:hAnsi="Times New Roman" w:cs="Times New Roman"/>
          <w:sz w:val="24"/>
          <w:szCs w:val="24"/>
        </w:rPr>
        <w:t xml:space="preserve">, </w:t>
      </w:r>
      <w:r w:rsidR="00266B58" w:rsidRPr="002C30B7">
        <w:rPr>
          <w:rFonts w:ascii="Times New Roman" w:hAnsi="Times New Roman" w:cs="Times New Roman"/>
          <w:sz w:val="24"/>
          <w:szCs w:val="24"/>
        </w:rPr>
        <w:fldChar w:fldCharType="begin" w:fldLock="1"/>
      </w:r>
      <w:r w:rsidR="00266B58">
        <w:rPr>
          <w:rFonts w:ascii="Times New Roman" w:hAnsi="Times New Roman" w:cs="Times New Roman"/>
          <w:sz w:val="24"/>
          <w:szCs w:val="24"/>
        </w:rPr>
        <w:instrText>ADDIN CSL_CITATION {"citationItems":[{"id":"ITEM-1","itemData":{"DOI":"10.1186/s12937-017-0264-3","ISSN":"1475-2891","PMID":"28705254","author":[{"dropping-particle":"","family":"Yaméogo","given":"C. W.","non-dropping-particle":"","parse-names":false,"suffix":""},{"dropping-particle":"","family":"Cichon","given":"B.","non-dropping-particle":"","parse-names":false,"suffix":""},{"dropping-particle":"","family":"Fabiansen","given":"C.","non-dropping-particle":"","parse-names":false,"suffix":""},{"dropping-particle":"","family":"Rytter","given":"M. J. H.","non-dropping-particle":"","parse-names":false,"suffix":""},{"dropping-particle":"","family":"Faurholt-Jepsen","given":"D.","non-dropping-particle":"","parse-names":false,"suffix":""},{"dropping-particle":"","family":"Stark","given":"K. D.","non-dropping-particle":"","parse-names":false,"suffix":""},{"dropping-particle":"","family":"Briend","given":"A.","non-dropping-particle":"","parse-names":false,"suffix":""},{"dropping-particle":"","family":"Shepherd","given":"S.","non-dropping-particle":"","parse-names":false,"suffix":""},{"dropping-particle":"","family":"Traoré","given":"A. S.","non-dropping-particle":"","parse-names":false,"suffix":""},{"dropping-particle":"","family":"Christensen","given":"V. B.","non-dropping-particle":"","parse-names":false,"suffix":""},{"dropping-particle":"","family":"Michaelsen","given":"K. F.","non-dropping-particle":"","parse-names":false,"suffix":""},{"dropping-particle":"","family":"Friis","given":"H.","non-dropping-particle":"","parse-names":false,"suffix":""},{"dropping-particle":"","family":"Lauritzen","given":"L.","non-dropping-particle":"","parse-names":false,"suffix":""}],"container-title":"Nutrition Journal","id":"ITEM-1","issue":"1","issued":{"date-parts":[["2017"]]},"page":"44","publisher":"Nutrition Journal","title":"Correlates of whole-blood polyunsaturated fatty acids among young children with moderate acute malnutrition","type":"article-journal","volume":"16"},"uris":["http://www.mendeley.com/documents/?uuid=93eda11e-0c20-4d50-b5f0-37c8e8e93ebe","http://www.mendeley.com/documents/?uuid=cd12a1bd-6743-44ef-9076-113a2395774c","http://www.mendeley.com/documents/?uuid=c85f6c70-4b10-4026-9eff-53ce51b0e97a","http://www.mendeley.com/documents/?uuid=feb76eda-97f5-422d-a97c-0f4e2162b0d7"]}],"mendeley":{"formattedCitation":"(Yaméogo et al., 2017)","manualFormatting":"Yaméogo et al., 2017)","plainTextFormattedCitation":"(Yaméogo et al., 2017)","previouslyFormattedCitation":"(Yaméogo et al., 2017)"},"properties":{"noteIndex":0},"schema":"https://github.com/citation-style-language/schema/raw/master/csl-citation.json"}</w:instrText>
      </w:r>
      <w:r w:rsidR="00266B58" w:rsidRPr="002C30B7">
        <w:rPr>
          <w:rFonts w:ascii="Times New Roman" w:hAnsi="Times New Roman" w:cs="Times New Roman"/>
          <w:sz w:val="24"/>
          <w:szCs w:val="24"/>
        </w:rPr>
        <w:fldChar w:fldCharType="separate"/>
      </w:r>
      <w:r w:rsidR="00266B58" w:rsidRPr="002C30B7">
        <w:rPr>
          <w:rFonts w:ascii="Times New Roman" w:hAnsi="Times New Roman" w:cs="Times New Roman"/>
          <w:noProof/>
          <w:sz w:val="24"/>
          <w:szCs w:val="24"/>
        </w:rPr>
        <w:t>Yaméogo et al., 2017)</w:t>
      </w:r>
      <w:r w:rsidR="00266B58" w:rsidRPr="002C30B7">
        <w:rPr>
          <w:rFonts w:ascii="Times New Roman" w:hAnsi="Times New Roman" w:cs="Times New Roman"/>
          <w:sz w:val="24"/>
          <w:szCs w:val="24"/>
        </w:rPr>
        <w:fldChar w:fldCharType="end"/>
      </w:r>
      <w:r w:rsidR="00266B58" w:rsidRPr="002C30B7">
        <w:rPr>
          <w:rFonts w:ascii="Times New Roman" w:hAnsi="Times New Roman" w:cs="Times New Roman"/>
          <w:sz w:val="24"/>
          <w:szCs w:val="24"/>
        </w:rPr>
        <w:t>.</w:t>
      </w:r>
    </w:p>
    <w:p w:rsidR="002962FB" w:rsidRPr="001B0281" w:rsidRDefault="002962FB" w:rsidP="00711048">
      <w:pPr>
        <w:autoSpaceDE w:val="0"/>
        <w:autoSpaceDN w:val="0"/>
        <w:adjustRightInd w:val="0"/>
        <w:spacing w:after="0" w:line="360" w:lineRule="auto"/>
        <w:jc w:val="both"/>
        <w:rPr>
          <w:rFonts w:ascii="Times New Roman" w:eastAsia="Calibri" w:hAnsi="Times New Roman" w:cs="Times New Roman"/>
          <w:sz w:val="24"/>
          <w:szCs w:val="24"/>
          <w:lang w:val="en-GB"/>
        </w:rPr>
      </w:pPr>
    </w:p>
    <w:p w:rsidR="007A4DC1" w:rsidRDefault="007A4DC1" w:rsidP="00711048">
      <w:pPr>
        <w:autoSpaceDE w:val="0"/>
        <w:autoSpaceDN w:val="0"/>
        <w:adjustRightInd w:val="0"/>
        <w:spacing w:after="0" w:line="360" w:lineRule="auto"/>
        <w:jc w:val="both"/>
        <w:rPr>
          <w:rFonts w:ascii="Times New Roman" w:eastAsia="Calibri" w:hAnsi="Times New Roman" w:cs="Times New Roman"/>
          <w:sz w:val="24"/>
          <w:szCs w:val="24"/>
          <w:lang w:val="en-GB"/>
        </w:rPr>
      </w:pPr>
      <w:r w:rsidRPr="007A4DC1">
        <w:rPr>
          <w:rFonts w:ascii="Times New Roman" w:eastAsia="Calibri" w:hAnsi="Times New Roman" w:cs="Times New Roman"/>
          <w:sz w:val="24"/>
          <w:szCs w:val="24"/>
          <w:lang w:val="en-GB"/>
        </w:rPr>
        <w:t>In 2015 countries were given a challenge to work towards ending all forms of malnutrition and reduction in stunting by 40% by 2025</w:t>
      </w:r>
      <w:r>
        <w:rPr>
          <w:rFonts w:ascii="Times New Roman" w:eastAsia="Calibri" w:hAnsi="Times New Roman" w:cs="Times New Roman"/>
          <w:sz w:val="24"/>
          <w:szCs w:val="24"/>
          <w:lang w:val="en-GB"/>
        </w:rPr>
        <w:t xml:space="preserve">, </w:t>
      </w:r>
      <w:r w:rsidRPr="007A4DC1">
        <w:rPr>
          <w:rFonts w:ascii="Times New Roman" w:eastAsia="Calibri" w:hAnsi="Times New Roman" w:cs="Times New Roman"/>
          <w:sz w:val="24"/>
          <w:szCs w:val="24"/>
          <w:lang w:val="en-GB"/>
        </w:rPr>
        <w:fldChar w:fldCharType="begin" w:fldLock="1"/>
      </w:r>
      <w:r w:rsidR="00603854">
        <w:rPr>
          <w:rFonts w:ascii="Times New Roman" w:eastAsia="Calibri" w:hAnsi="Times New Roman" w:cs="Times New Roman"/>
          <w:sz w:val="24"/>
          <w:szCs w:val="24"/>
          <w:lang w:val="en-GB"/>
        </w:rPr>
        <w:instrText>ADDIN CSL_CITATION {"citationItems":[{"id":"ITEM-1","itemData":{"DOI":"10.2499/9780896299948","ISBN":"9780896299948","abstract":"IMPACT ENDING MALNUTRITION BY 2030 FROM TO The 2016 Global Nutrition Report is an authoritative source of action-oriented nutrition knowledge that transcends politics and guides the SUN Movement in its quest to make nutrition a priority. This report continues to push the bound-aries beyond previous editions—with an optimistic message that when we work together, our collective impact can achieve the changes needed to sustainably transform lives, communities, and the future. Eradicating malnutrition requires perseverance from all of us, and the report gives us our backbone and resolve. It also ensures that we hold each other accountable and learn from each other's successes and failures. The Global Nutrition Report emphasizes the challenges posed by the multiple forms of malnutrition. It also signals the enormous importance of investing in the critical 1,000-day window so that every girl and boy can lead a happy, healthy, and productive life. Investing in nutrition is our collective legacy for a sustainable world in 2030. The Global Nutrition Report confirms the urgency of collective action to combat malnutrition's cascading impact on peo-ple, communities, and whole societies. The simple truth is we cannot secure sustainable development until we address the persistent food and nutrition challenges undermining opportunities for our planet's poorest and most vulnerable people. Moving from theory to action requires giving specific attention to those people left furthest behind, enduring persistent crisis and the effects of climate change. This report confirms that committing to SMART action is the primary way to achieve change for the people who need it most.","author":[{"dropping-particle":"","family":"Research Institute (IFPRI)","given":"International Food Policy","non-dropping-particle":"","parse-names":false,"suffix":""}],"id":"ITEM-1","issued":{"date-parts":[["2016"]]},"title":"Global Nutrition Report 2016 From Promise to Impact Ending Malnutrition by 2030 Summary","type":"report"},"uris":["http://www.mendeley.com/documents/?uuid=741e1704-eba3-4386-8407-13aadd8297e5","http://www.mendeley.com/documents/?uuid=0e38e5ca-3b8a-4db5-a50e-9826a763395c","http://www.mendeley.com/documents/?uuid=0cfdc038-a8f4-4953-a208-7bdce2d9e26b","http://www.mendeley.com/documents/?uuid=64a50661-6478-4498-8700-1656473540de"]}],"mendeley":{"formattedCitation":"(Research Institute (IFPRI), 2016)","manualFormatting":"(Research Institute IFPRI, 2016)","plainTextFormattedCitation":"(Research Institute (IFPRI), 2016)","previouslyFormattedCitation":"(Research Institute (IFPRI), 2016)"},"properties":{"noteIndex":0},"schema":"https://github.com/citation-style-language/schema/raw/master/csl-citation.json"}</w:instrText>
      </w:r>
      <w:r w:rsidRPr="007A4DC1">
        <w:rPr>
          <w:rFonts w:ascii="Times New Roman" w:eastAsia="Calibri" w:hAnsi="Times New Roman" w:cs="Times New Roman"/>
          <w:sz w:val="24"/>
          <w:szCs w:val="24"/>
          <w:lang w:val="en-GB"/>
        </w:rPr>
        <w:fldChar w:fldCharType="separate"/>
      </w:r>
      <w:r>
        <w:rPr>
          <w:rFonts w:ascii="Times New Roman" w:eastAsia="Calibri" w:hAnsi="Times New Roman" w:cs="Times New Roman"/>
          <w:noProof/>
          <w:sz w:val="24"/>
          <w:szCs w:val="24"/>
          <w:lang w:val="en-GB"/>
        </w:rPr>
        <w:t xml:space="preserve">(Research Institute </w:t>
      </w:r>
      <w:r w:rsidR="00603854">
        <w:rPr>
          <w:rFonts w:ascii="Times New Roman" w:eastAsia="Calibri" w:hAnsi="Times New Roman" w:cs="Times New Roman"/>
          <w:noProof/>
          <w:sz w:val="24"/>
          <w:szCs w:val="24"/>
          <w:lang w:val="en-GB"/>
        </w:rPr>
        <w:t>IFPRI</w:t>
      </w:r>
      <w:r w:rsidRPr="007A4DC1">
        <w:rPr>
          <w:rFonts w:ascii="Times New Roman" w:eastAsia="Calibri" w:hAnsi="Times New Roman" w:cs="Times New Roman"/>
          <w:noProof/>
          <w:sz w:val="24"/>
          <w:szCs w:val="24"/>
          <w:lang w:val="en-GB"/>
        </w:rPr>
        <w:t>, 2016)</w:t>
      </w:r>
      <w:r w:rsidRPr="007A4DC1">
        <w:rPr>
          <w:rFonts w:ascii="Times New Roman" w:eastAsia="Calibri" w:hAnsi="Times New Roman" w:cs="Times New Roman"/>
          <w:sz w:val="24"/>
          <w:szCs w:val="24"/>
          <w:lang w:val="en-GB"/>
        </w:rPr>
        <w:fldChar w:fldCharType="end"/>
      </w:r>
      <w:r>
        <w:rPr>
          <w:rFonts w:ascii="Times New Roman" w:eastAsia="Calibri" w:hAnsi="Times New Roman" w:cs="Times New Roman"/>
          <w:sz w:val="24"/>
          <w:szCs w:val="24"/>
          <w:lang w:val="en-GB"/>
        </w:rPr>
        <w:t>.</w:t>
      </w:r>
      <w:r w:rsidRPr="007A4DC1">
        <w:rPr>
          <w:rFonts w:ascii="Times New Roman" w:eastAsia="Calibri" w:hAnsi="Times New Roman" w:cs="Times New Roman"/>
          <w:sz w:val="24"/>
          <w:szCs w:val="24"/>
          <w:lang w:val="en-GB"/>
        </w:rPr>
        <w:t xml:space="preserve"> Kenya </w:t>
      </w:r>
      <w:r>
        <w:rPr>
          <w:rFonts w:ascii="Times New Roman" w:eastAsia="Calibri" w:hAnsi="Times New Roman" w:cs="Times New Roman"/>
          <w:sz w:val="24"/>
          <w:szCs w:val="24"/>
          <w:lang w:val="en-GB"/>
        </w:rPr>
        <w:t xml:space="preserve">had </w:t>
      </w:r>
      <w:r w:rsidR="00603854">
        <w:rPr>
          <w:rFonts w:ascii="Times New Roman" w:eastAsia="Calibri" w:hAnsi="Times New Roman" w:cs="Times New Roman"/>
          <w:sz w:val="24"/>
          <w:szCs w:val="24"/>
          <w:lang w:val="en-GB"/>
        </w:rPr>
        <w:t xml:space="preserve">26% stunting prevalence </w:t>
      </w:r>
      <w:r w:rsidRPr="007A4DC1">
        <w:rPr>
          <w:rFonts w:ascii="Times New Roman" w:eastAsia="Calibri" w:hAnsi="Times New Roman" w:cs="Times New Roman"/>
          <w:sz w:val="24"/>
          <w:szCs w:val="24"/>
          <w:lang w:val="en-GB"/>
        </w:rPr>
        <w:t>in 2014 a drop from 35 % in 2008/09</w:t>
      </w:r>
      <w:r w:rsidR="00603854">
        <w:rPr>
          <w:rFonts w:ascii="Times New Roman" w:eastAsia="Calibri" w:hAnsi="Times New Roman" w:cs="Times New Roman"/>
          <w:sz w:val="24"/>
          <w:szCs w:val="24"/>
          <w:lang w:val="en-GB"/>
        </w:rPr>
        <w:t xml:space="preserve">. </w:t>
      </w:r>
      <w:r w:rsidRPr="007A4DC1">
        <w:rPr>
          <w:rFonts w:ascii="Times New Roman" w:eastAsia="Calibri" w:hAnsi="Times New Roman" w:cs="Times New Roman"/>
          <w:sz w:val="24"/>
          <w:szCs w:val="24"/>
          <w:lang w:val="en-GB"/>
        </w:rPr>
        <w:t xml:space="preserve">West Pokot and Kitui counties </w:t>
      </w:r>
      <w:r w:rsidR="00DB7DB4">
        <w:rPr>
          <w:rFonts w:ascii="Times New Roman" w:eastAsia="Calibri" w:hAnsi="Times New Roman" w:cs="Times New Roman"/>
          <w:sz w:val="24"/>
          <w:szCs w:val="24"/>
          <w:lang w:val="en-GB"/>
        </w:rPr>
        <w:t>recorded the highest stunting rates at</w:t>
      </w:r>
      <w:r w:rsidRPr="007A4DC1">
        <w:rPr>
          <w:rFonts w:ascii="Times New Roman" w:eastAsia="Calibri" w:hAnsi="Times New Roman" w:cs="Times New Roman"/>
          <w:sz w:val="24"/>
          <w:szCs w:val="24"/>
          <w:lang w:val="en-GB"/>
        </w:rPr>
        <w:t xml:space="preserve"> 45.9% and 45.8% respectively.  </w:t>
      </w:r>
      <w:r w:rsidR="002B4653">
        <w:rPr>
          <w:rFonts w:ascii="Times New Roman" w:eastAsia="Calibri" w:hAnsi="Times New Roman" w:cs="Times New Roman"/>
          <w:sz w:val="24"/>
          <w:szCs w:val="24"/>
          <w:lang w:val="en-GB"/>
        </w:rPr>
        <w:t xml:space="preserve">Stunting was also observed in </w:t>
      </w:r>
      <w:r w:rsidR="00DB7DB4">
        <w:rPr>
          <w:rFonts w:ascii="Times New Roman" w:eastAsia="Calibri" w:hAnsi="Times New Roman" w:cs="Times New Roman"/>
          <w:sz w:val="24"/>
          <w:szCs w:val="24"/>
          <w:lang w:val="en-GB"/>
        </w:rPr>
        <w:t xml:space="preserve">some areas designated to be food secure </w:t>
      </w:r>
      <w:r w:rsidR="00806667">
        <w:rPr>
          <w:rFonts w:ascii="Times New Roman" w:eastAsia="Calibri" w:hAnsi="Times New Roman" w:cs="Times New Roman"/>
          <w:sz w:val="24"/>
          <w:szCs w:val="24"/>
          <w:lang w:val="en-GB"/>
        </w:rPr>
        <w:t xml:space="preserve">counties </w:t>
      </w:r>
      <w:r w:rsidR="00DB7DB4">
        <w:rPr>
          <w:rFonts w:ascii="Times New Roman" w:eastAsia="Calibri" w:hAnsi="Times New Roman" w:cs="Times New Roman"/>
          <w:sz w:val="24"/>
          <w:szCs w:val="24"/>
          <w:lang w:val="en-GB"/>
        </w:rPr>
        <w:t xml:space="preserve">in Kenya according to a report by </w:t>
      </w:r>
      <w:r w:rsidR="00DB7DB4">
        <w:rPr>
          <w:rFonts w:ascii="Times New Roman" w:eastAsia="Calibri" w:hAnsi="Times New Roman" w:cs="Times New Roman"/>
          <w:sz w:val="24"/>
          <w:szCs w:val="24"/>
          <w:lang w:val="en-GB"/>
        </w:rPr>
        <w:fldChar w:fldCharType="begin" w:fldLock="1"/>
      </w:r>
      <w:r w:rsidR="00DB7DB4">
        <w:rPr>
          <w:rFonts w:ascii="Times New Roman" w:eastAsia="Calibri" w:hAnsi="Times New Roman" w:cs="Times New Roman"/>
          <w:sz w:val="24"/>
          <w:szCs w:val="24"/>
          <w:lang w:val="en-GB"/>
        </w:rPr>
        <w:instrText>ADDIN CSL_CITATION {"citationItems":[{"id":"ITEM-1","itemData":{"author":[{"dropping-particle":"","family":"Security","given":"Comprehensive Food","non-dropping-particle":"","parse-names":false,"suffix":""}],"id":"ITEM-1","issued":{"date-parts":[["2016"]]},"title":"Comprehensive Food Security and Vulnerability Analysis (CFSVA) Kenya 2016","type":"article-journal"},"uris":["http://www.mendeley.com/documents/?uuid=d9bc91af-6246-4cad-b060-25b840aed1d2"]}],"mendeley":{"formattedCitation":"(Security, 2016)","plainTextFormattedCitation":"(Security, 2016)"},"properties":{"noteIndex":0},"schema":"https://github.com/citation-style-language/schema/raw/master/csl-citation.json"}</w:instrText>
      </w:r>
      <w:r w:rsidR="00DB7DB4">
        <w:rPr>
          <w:rFonts w:ascii="Times New Roman" w:eastAsia="Calibri" w:hAnsi="Times New Roman" w:cs="Times New Roman"/>
          <w:sz w:val="24"/>
          <w:szCs w:val="24"/>
          <w:lang w:val="en-GB"/>
        </w:rPr>
        <w:fldChar w:fldCharType="separate"/>
      </w:r>
      <w:r w:rsidR="00DB7DB4" w:rsidRPr="00DB7DB4">
        <w:rPr>
          <w:rFonts w:ascii="Times New Roman" w:eastAsia="Calibri" w:hAnsi="Times New Roman" w:cs="Times New Roman"/>
          <w:noProof/>
          <w:sz w:val="24"/>
          <w:szCs w:val="24"/>
          <w:lang w:val="en-GB"/>
        </w:rPr>
        <w:t xml:space="preserve">(Security, </w:t>
      </w:r>
      <w:r w:rsidR="00DB7DB4" w:rsidRPr="00DB7DB4">
        <w:rPr>
          <w:rFonts w:ascii="Times New Roman" w:eastAsia="Calibri" w:hAnsi="Times New Roman" w:cs="Times New Roman"/>
          <w:noProof/>
          <w:sz w:val="24"/>
          <w:szCs w:val="24"/>
          <w:lang w:val="en-GB"/>
        </w:rPr>
        <w:lastRenderedPageBreak/>
        <w:t>2016)</w:t>
      </w:r>
      <w:r w:rsidR="00DB7DB4">
        <w:rPr>
          <w:rFonts w:ascii="Times New Roman" w:eastAsia="Calibri" w:hAnsi="Times New Roman" w:cs="Times New Roman"/>
          <w:sz w:val="24"/>
          <w:szCs w:val="24"/>
          <w:lang w:val="en-GB"/>
        </w:rPr>
        <w:fldChar w:fldCharType="end"/>
      </w:r>
      <w:r w:rsidR="00806667">
        <w:rPr>
          <w:rFonts w:ascii="Times New Roman" w:eastAsia="Calibri" w:hAnsi="Times New Roman" w:cs="Times New Roman"/>
          <w:sz w:val="24"/>
          <w:szCs w:val="24"/>
          <w:lang w:val="en-GB"/>
        </w:rPr>
        <w:t>,</w:t>
      </w:r>
      <w:r w:rsidR="00DB7DB4">
        <w:rPr>
          <w:rFonts w:ascii="Times New Roman" w:eastAsia="Calibri" w:hAnsi="Times New Roman" w:cs="Times New Roman"/>
          <w:sz w:val="24"/>
          <w:szCs w:val="24"/>
          <w:lang w:val="en-GB"/>
        </w:rPr>
        <w:t xml:space="preserve"> </w:t>
      </w:r>
      <w:r w:rsidR="002B4653">
        <w:rPr>
          <w:rFonts w:ascii="Times New Roman" w:eastAsia="Calibri" w:hAnsi="Times New Roman" w:cs="Times New Roman"/>
          <w:sz w:val="24"/>
          <w:szCs w:val="24"/>
          <w:lang w:val="en-GB"/>
        </w:rPr>
        <w:t xml:space="preserve">as Uasin Gishu </w:t>
      </w:r>
      <w:r w:rsidR="002B4653" w:rsidRPr="007A4DC1">
        <w:rPr>
          <w:rFonts w:ascii="Times New Roman" w:eastAsia="Calibri" w:hAnsi="Times New Roman" w:cs="Times New Roman"/>
          <w:sz w:val="24"/>
          <w:szCs w:val="24"/>
          <w:lang w:val="en-GB"/>
        </w:rPr>
        <w:t>(31.2%)</w:t>
      </w:r>
      <w:r w:rsidR="002B4653">
        <w:rPr>
          <w:rFonts w:ascii="Times New Roman" w:eastAsia="Calibri" w:hAnsi="Times New Roman" w:cs="Times New Roman"/>
          <w:sz w:val="24"/>
          <w:szCs w:val="24"/>
          <w:lang w:val="en-GB"/>
        </w:rPr>
        <w:t>, Nandi (</w:t>
      </w:r>
      <w:r w:rsidR="002B4653" w:rsidRPr="007A4DC1">
        <w:rPr>
          <w:rFonts w:ascii="Times New Roman" w:eastAsia="Calibri" w:hAnsi="Times New Roman" w:cs="Times New Roman"/>
          <w:sz w:val="24"/>
          <w:szCs w:val="24"/>
          <w:lang w:val="en-GB"/>
        </w:rPr>
        <w:t>29.9%</w:t>
      </w:r>
      <w:r w:rsidR="002B4653">
        <w:rPr>
          <w:rFonts w:ascii="Times New Roman" w:eastAsia="Calibri" w:hAnsi="Times New Roman" w:cs="Times New Roman"/>
          <w:sz w:val="24"/>
          <w:szCs w:val="24"/>
          <w:lang w:val="en-GB"/>
        </w:rPr>
        <w:t>)</w:t>
      </w:r>
      <w:r w:rsidR="002B4653" w:rsidRPr="007A4DC1">
        <w:rPr>
          <w:rFonts w:ascii="Times New Roman" w:eastAsia="Calibri" w:hAnsi="Times New Roman" w:cs="Times New Roman"/>
          <w:sz w:val="24"/>
          <w:szCs w:val="24"/>
          <w:lang w:val="en-GB"/>
        </w:rPr>
        <w:t xml:space="preserve"> </w:t>
      </w:r>
      <w:r w:rsidR="002B4653">
        <w:rPr>
          <w:rFonts w:ascii="Times New Roman" w:eastAsia="Calibri" w:hAnsi="Times New Roman" w:cs="Times New Roman"/>
          <w:sz w:val="24"/>
          <w:szCs w:val="24"/>
          <w:lang w:val="en-GB"/>
        </w:rPr>
        <w:t>and Trans Nzoia (</w:t>
      </w:r>
      <w:r w:rsidR="002B4653" w:rsidRPr="007A4DC1">
        <w:rPr>
          <w:rFonts w:ascii="Times New Roman" w:eastAsia="Calibri" w:hAnsi="Times New Roman" w:cs="Times New Roman"/>
          <w:sz w:val="24"/>
          <w:szCs w:val="24"/>
          <w:lang w:val="en-GB"/>
        </w:rPr>
        <w:t>29.2%</w:t>
      </w:r>
      <w:r w:rsidR="002B4653">
        <w:rPr>
          <w:rFonts w:ascii="Times New Roman" w:eastAsia="Calibri" w:hAnsi="Times New Roman" w:cs="Times New Roman"/>
          <w:sz w:val="24"/>
          <w:szCs w:val="24"/>
          <w:lang w:val="en-GB"/>
        </w:rPr>
        <w:t xml:space="preserve">). </w:t>
      </w:r>
      <w:r w:rsidR="00806667">
        <w:rPr>
          <w:rFonts w:ascii="Times New Roman" w:eastAsia="Calibri" w:hAnsi="Times New Roman" w:cs="Times New Roman"/>
          <w:sz w:val="24"/>
          <w:szCs w:val="24"/>
          <w:lang w:val="en-GB"/>
        </w:rPr>
        <w:t xml:space="preserve">But some </w:t>
      </w:r>
      <w:r w:rsidR="002B4653" w:rsidRPr="007A4DC1">
        <w:rPr>
          <w:rFonts w:ascii="Times New Roman" w:eastAsia="Calibri" w:hAnsi="Times New Roman" w:cs="Times New Roman"/>
          <w:sz w:val="24"/>
          <w:szCs w:val="24"/>
          <w:lang w:val="en-GB"/>
        </w:rPr>
        <w:t>agricultural rich counties with an example of Nyeri Cou</w:t>
      </w:r>
      <w:r w:rsidR="00806667">
        <w:rPr>
          <w:rFonts w:ascii="Times New Roman" w:eastAsia="Calibri" w:hAnsi="Times New Roman" w:cs="Times New Roman"/>
          <w:sz w:val="24"/>
          <w:szCs w:val="24"/>
          <w:lang w:val="en-GB"/>
        </w:rPr>
        <w:t xml:space="preserve">nty which is a food secure, </w:t>
      </w:r>
      <w:r w:rsidR="002B4653" w:rsidRPr="007A4DC1">
        <w:rPr>
          <w:rFonts w:ascii="Times New Roman" w:eastAsia="Calibri" w:hAnsi="Times New Roman" w:cs="Times New Roman"/>
          <w:sz w:val="24"/>
          <w:szCs w:val="24"/>
          <w:lang w:val="en-GB"/>
        </w:rPr>
        <w:t xml:space="preserve">had the lowest stunting rates of 15.1%. Turkana which is relatively drier </w:t>
      </w:r>
      <w:r w:rsidR="002962FB">
        <w:rPr>
          <w:rFonts w:ascii="Times New Roman" w:eastAsia="Calibri" w:hAnsi="Times New Roman" w:cs="Times New Roman"/>
          <w:sz w:val="24"/>
          <w:szCs w:val="24"/>
          <w:lang w:val="en-GB"/>
        </w:rPr>
        <w:t xml:space="preserve">classified as food insecure, </w:t>
      </w:r>
      <w:r w:rsidR="002B4653" w:rsidRPr="007A4DC1">
        <w:rPr>
          <w:rFonts w:ascii="Times New Roman" w:eastAsia="Calibri" w:hAnsi="Times New Roman" w:cs="Times New Roman"/>
          <w:sz w:val="24"/>
          <w:szCs w:val="24"/>
          <w:lang w:val="en-GB"/>
        </w:rPr>
        <w:t xml:space="preserve">had a stunting rate of 23.9% which was lower than some food producing regions, </w:t>
      </w:r>
      <w:r w:rsidR="002B4653" w:rsidRPr="007A4DC1">
        <w:rPr>
          <w:rFonts w:ascii="Times New Roman" w:eastAsia="Calibri" w:hAnsi="Times New Roman" w:cs="Times New Roman"/>
          <w:sz w:val="24"/>
          <w:szCs w:val="24"/>
          <w:lang w:val="en-GB"/>
        </w:rPr>
        <w:fldChar w:fldCharType="begin" w:fldLock="1"/>
      </w:r>
      <w:r w:rsidR="002B4653" w:rsidRPr="007A4DC1">
        <w:rPr>
          <w:rFonts w:ascii="Times New Roman" w:eastAsia="Calibri" w:hAnsi="Times New Roman" w:cs="Times New Roman"/>
          <w:sz w:val="24"/>
          <w:szCs w:val="24"/>
          <w:lang w:val="en-GB"/>
        </w:rPr>
        <w:instrText>ADDIN CSL_CITATION {"citationItems":[{"id":"ITEM-1","itemData":{"author":[{"dropping-particle":"","family":"Survey","given":"Health","non-dropping-particle":"","parse-names":false,"suffix":""},{"dropping-particle":"","family":"Indicators","given":"Key","non-dropping-particle":"","parse-names":false,"suffix":""}],"id":"ITEM-1","issued":{"date-parts":[["2014"]]},"title":"Kenya","type":"article-journal"},"uris":["http://www.mendeley.com/documents/?uuid=c2045756-09dc-430d-b033-779d181bc395"]}],"mendeley":{"formattedCitation":"(Survey &amp; Indicators, 2014)","plainTextFormattedCitation":"(Survey &amp; Indicators, 2014)","previouslyFormattedCitation":"(Survey &amp; Indicators, 2014)"},"properties":{"noteIndex":0},"schema":"https://github.com/citation-style-language/schema/raw/master/csl-citation.json"}</w:instrText>
      </w:r>
      <w:r w:rsidR="002B4653" w:rsidRPr="007A4DC1">
        <w:rPr>
          <w:rFonts w:ascii="Times New Roman" w:eastAsia="Calibri" w:hAnsi="Times New Roman" w:cs="Times New Roman"/>
          <w:sz w:val="24"/>
          <w:szCs w:val="24"/>
          <w:lang w:val="en-GB"/>
        </w:rPr>
        <w:fldChar w:fldCharType="separate"/>
      </w:r>
      <w:r w:rsidR="002B4653" w:rsidRPr="007A4DC1">
        <w:rPr>
          <w:rFonts w:ascii="Times New Roman" w:eastAsia="Calibri" w:hAnsi="Times New Roman" w:cs="Times New Roman"/>
          <w:noProof/>
          <w:sz w:val="24"/>
          <w:szCs w:val="24"/>
          <w:lang w:val="en-GB"/>
        </w:rPr>
        <w:t>(Survey &amp; Indicators, 2014)</w:t>
      </w:r>
      <w:r w:rsidR="002B4653" w:rsidRPr="007A4DC1">
        <w:rPr>
          <w:rFonts w:ascii="Times New Roman" w:eastAsia="Calibri" w:hAnsi="Times New Roman" w:cs="Times New Roman"/>
          <w:sz w:val="24"/>
          <w:szCs w:val="24"/>
          <w:lang w:val="en-GB"/>
        </w:rPr>
        <w:fldChar w:fldCharType="end"/>
      </w:r>
      <w:r w:rsidR="002B4653" w:rsidRPr="007A4DC1">
        <w:rPr>
          <w:rFonts w:ascii="Times New Roman" w:eastAsia="Calibri" w:hAnsi="Times New Roman" w:cs="Times New Roman"/>
          <w:sz w:val="24"/>
          <w:szCs w:val="24"/>
          <w:lang w:val="en-GB"/>
        </w:rPr>
        <w:t>.</w:t>
      </w:r>
      <w:r w:rsidR="002B4653">
        <w:rPr>
          <w:rFonts w:ascii="Times New Roman" w:eastAsia="Calibri" w:hAnsi="Times New Roman" w:cs="Times New Roman"/>
          <w:sz w:val="24"/>
          <w:szCs w:val="24"/>
          <w:lang w:val="en-GB"/>
        </w:rPr>
        <w:t xml:space="preserve"> T</w:t>
      </w:r>
      <w:r w:rsidR="002B4653" w:rsidRPr="007A4DC1">
        <w:rPr>
          <w:rFonts w:ascii="Times New Roman" w:eastAsia="Calibri" w:hAnsi="Times New Roman" w:cs="Times New Roman"/>
          <w:sz w:val="24"/>
          <w:szCs w:val="24"/>
          <w:lang w:val="en-GB"/>
        </w:rPr>
        <w:t>here seems to be a major research gap in some food secure regions in Kenya on factors contributing to stunting and more so in</w:t>
      </w:r>
      <w:r w:rsidR="002B4653">
        <w:rPr>
          <w:rFonts w:ascii="Times New Roman" w:eastAsia="Calibri" w:hAnsi="Times New Roman" w:cs="Times New Roman"/>
          <w:sz w:val="24"/>
          <w:szCs w:val="24"/>
          <w:lang w:val="en-GB"/>
        </w:rPr>
        <w:t xml:space="preserve"> Uasin Gishu County.</w:t>
      </w:r>
      <w:r w:rsidR="002B4653" w:rsidRPr="007A4DC1">
        <w:rPr>
          <w:rFonts w:ascii="Times New Roman" w:eastAsia="Calibri" w:hAnsi="Times New Roman" w:cs="Times New Roman"/>
          <w:sz w:val="24"/>
          <w:szCs w:val="24"/>
          <w:lang w:val="en-GB"/>
        </w:rPr>
        <w:t xml:space="preserve"> </w:t>
      </w:r>
      <w:r w:rsidR="002B4653">
        <w:rPr>
          <w:rFonts w:ascii="Times New Roman" w:eastAsia="Calibri" w:hAnsi="Times New Roman" w:cs="Times New Roman"/>
          <w:sz w:val="24"/>
          <w:szCs w:val="24"/>
          <w:lang w:val="en-GB"/>
        </w:rPr>
        <w:t>This t</w:t>
      </w:r>
      <w:r w:rsidR="002B4653" w:rsidRPr="007A4DC1">
        <w:rPr>
          <w:rFonts w:ascii="Times New Roman" w:eastAsia="Calibri" w:hAnsi="Times New Roman" w:cs="Times New Roman"/>
          <w:sz w:val="24"/>
          <w:szCs w:val="24"/>
          <w:lang w:val="en-GB"/>
        </w:rPr>
        <w:t xml:space="preserve">herefore </w:t>
      </w:r>
      <w:r w:rsidR="002B4653">
        <w:rPr>
          <w:rFonts w:ascii="Times New Roman" w:eastAsia="Calibri" w:hAnsi="Times New Roman" w:cs="Times New Roman"/>
          <w:sz w:val="24"/>
          <w:szCs w:val="24"/>
          <w:lang w:val="en-GB"/>
        </w:rPr>
        <w:t xml:space="preserve">requires </w:t>
      </w:r>
      <w:r w:rsidR="002B4653" w:rsidRPr="007A4DC1">
        <w:rPr>
          <w:rFonts w:ascii="Times New Roman" w:eastAsia="Calibri" w:hAnsi="Times New Roman" w:cs="Times New Roman"/>
          <w:sz w:val="24"/>
          <w:szCs w:val="24"/>
          <w:lang w:val="en-GB"/>
        </w:rPr>
        <w:t>studies to establish factors</w:t>
      </w:r>
      <w:r w:rsidR="002B4653">
        <w:rPr>
          <w:rFonts w:ascii="Times New Roman" w:eastAsia="Calibri" w:hAnsi="Times New Roman" w:cs="Times New Roman"/>
          <w:sz w:val="24"/>
          <w:szCs w:val="24"/>
          <w:lang w:val="en-GB"/>
        </w:rPr>
        <w:t xml:space="preserve"> that result in stunting to</w:t>
      </w:r>
      <w:r w:rsidR="002B4653" w:rsidRPr="007A4DC1">
        <w:rPr>
          <w:rFonts w:ascii="Times New Roman" w:eastAsia="Calibri" w:hAnsi="Times New Roman" w:cs="Times New Roman"/>
          <w:sz w:val="24"/>
          <w:szCs w:val="24"/>
          <w:lang w:val="en-GB"/>
        </w:rPr>
        <w:t xml:space="preserve"> ensure informed interventions by both county and national governments. </w:t>
      </w:r>
    </w:p>
    <w:p w:rsidR="00D073AA" w:rsidRPr="007A4DC1" w:rsidRDefault="00D073AA" w:rsidP="000D229D">
      <w:pPr>
        <w:autoSpaceDE w:val="0"/>
        <w:autoSpaceDN w:val="0"/>
        <w:adjustRightInd w:val="0"/>
        <w:spacing w:after="0" w:line="360" w:lineRule="auto"/>
        <w:jc w:val="both"/>
        <w:rPr>
          <w:rFonts w:ascii="Times New Roman" w:eastAsia="Calibri" w:hAnsi="Times New Roman" w:cs="Times New Roman"/>
          <w:sz w:val="24"/>
          <w:szCs w:val="24"/>
          <w:lang w:val="en-GB"/>
        </w:rPr>
      </w:pPr>
    </w:p>
    <w:p w:rsidR="001B0281" w:rsidRPr="002962FB" w:rsidRDefault="001B0281" w:rsidP="000D229D">
      <w:pPr>
        <w:spacing w:after="0" w:line="360" w:lineRule="auto"/>
        <w:rPr>
          <w:rFonts w:ascii="Times New Roman" w:hAnsi="Times New Roman" w:cs="Times New Roman"/>
          <w:b/>
          <w:sz w:val="24"/>
          <w:szCs w:val="24"/>
        </w:rPr>
      </w:pPr>
      <w:r w:rsidRPr="002962FB">
        <w:rPr>
          <w:rFonts w:ascii="Times New Roman" w:hAnsi="Times New Roman" w:cs="Times New Roman"/>
          <w:b/>
          <w:sz w:val="24"/>
          <w:szCs w:val="24"/>
        </w:rPr>
        <w:t>Methodology</w:t>
      </w:r>
    </w:p>
    <w:p w:rsidR="001B0281" w:rsidRPr="0086220E" w:rsidRDefault="001B0281" w:rsidP="007110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comparative cross sectional survey was used in this study. The study was conducted in Huruma and Ng</w:t>
      </w:r>
      <w:r w:rsidR="007467D1">
        <w:rPr>
          <w:rFonts w:ascii="Times New Roman" w:hAnsi="Times New Roman" w:cs="Times New Roman"/>
          <w:sz w:val="24"/>
          <w:szCs w:val="24"/>
        </w:rPr>
        <w:t>’</w:t>
      </w:r>
      <w:r>
        <w:rPr>
          <w:rFonts w:ascii="Times New Roman" w:hAnsi="Times New Roman" w:cs="Times New Roman"/>
          <w:sz w:val="24"/>
          <w:szCs w:val="24"/>
        </w:rPr>
        <w:t xml:space="preserve">enyilel ward of Turbo </w:t>
      </w:r>
      <w:r w:rsidR="00700E8F">
        <w:rPr>
          <w:rFonts w:ascii="Times New Roman" w:hAnsi="Times New Roman" w:cs="Times New Roman"/>
          <w:sz w:val="24"/>
          <w:szCs w:val="24"/>
        </w:rPr>
        <w:t>Sub County, Uasin Gishu County t</w:t>
      </w:r>
      <w:r>
        <w:rPr>
          <w:rFonts w:ascii="Times New Roman" w:hAnsi="Times New Roman" w:cs="Times New Roman"/>
          <w:sz w:val="24"/>
          <w:szCs w:val="24"/>
        </w:rPr>
        <w:t>arget</w:t>
      </w:r>
      <w:r w:rsidR="00700E8F">
        <w:rPr>
          <w:rFonts w:ascii="Times New Roman" w:hAnsi="Times New Roman" w:cs="Times New Roman"/>
          <w:sz w:val="24"/>
          <w:szCs w:val="24"/>
        </w:rPr>
        <w:t>ing</w:t>
      </w:r>
      <w:r>
        <w:rPr>
          <w:rFonts w:ascii="Times New Roman" w:hAnsi="Times New Roman" w:cs="Times New Roman"/>
          <w:sz w:val="24"/>
          <w:szCs w:val="24"/>
        </w:rPr>
        <w:t xml:space="preserve"> childre</w:t>
      </w:r>
      <w:r w:rsidR="000A73E1">
        <w:rPr>
          <w:rFonts w:ascii="Times New Roman" w:hAnsi="Times New Roman" w:cs="Times New Roman"/>
          <w:sz w:val="24"/>
          <w:szCs w:val="24"/>
        </w:rPr>
        <w:t>n le</w:t>
      </w:r>
      <w:r w:rsidR="00700E8F">
        <w:rPr>
          <w:rFonts w:ascii="Times New Roman" w:hAnsi="Times New Roman" w:cs="Times New Roman"/>
          <w:sz w:val="24"/>
          <w:szCs w:val="24"/>
        </w:rPr>
        <w:t>ss than two years.</w:t>
      </w:r>
      <w:r>
        <w:rPr>
          <w:rFonts w:ascii="Times New Roman" w:hAnsi="Times New Roman" w:cs="Times New Roman"/>
          <w:sz w:val="24"/>
          <w:szCs w:val="24"/>
        </w:rPr>
        <w:t xml:space="preserve"> </w:t>
      </w:r>
      <w:r w:rsidR="007467D1">
        <w:rPr>
          <w:rFonts w:ascii="Times New Roman" w:hAnsi="Times New Roman" w:cs="Times New Roman"/>
          <w:sz w:val="24"/>
          <w:szCs w:val="24"/>
        </w:rPr>
        <w:t>A</w:t>
      </w:r>
      <w:r w:rsidR="00CC3113">
        <w:rPr>
          <w:rFonts w:ascii="Times New Roman" w:hAnsi="Times New Roman" w:cs="Times New Roman"/>
          <w:sz w:val="24"/>
          <w:szCs w:val="24"/>
        </w:rPr>
        <w:t xml:space="preserve"> s</w:t>
      </w:r>
      <w:r>
        <w:rPr>
          <w:rFonts w:ascii="Times New Roman" w:hAnsi="Times New Roman" w:cs="Times New Roman"/>
          <w:sz w:val="24"/>
          <w:szCs w:val="24"/>
        </w:rPr>
        <w:t>ample size of 331 children less than two years was derived using Fishers formula (n=z</w:t>
      </w:r>
      <w:r w:rsidRPr="00FA4989">
        <w:rPr>
          <w:rFonts w:ascii="Times New Roman" w:hAnsi="Times New Roman" w:cs="Times New Roman"/>
          <w:sz w:val="24"/>
          <w:szCs w:val="24"/>
          <w:vertAlign w:val="superscript"/>
        </w:rPr>
        <w:t>2</w:t>
      </w:r>
      <w:r>
        <w:rPr>
          <w:rFonts w:ascii="Times New Roman" w:hAnsi="Times New Roman" w:cs="Times New Roman"/>
          <w:sz w:val="24"/>
          <w:szCs w:val="24"/>
        </w:rPr>
        <w:t>pq/d</w:t>
      </w:r>
      <w:r w:rsidRPr="00FA4989">
        <w:rPr>
          <w:rFonts w:ascii="Times New Roman" w:hAnsi="Times New Roman" w:cs="Times New Roman"/>
          <w:sz w:val="24"/>
          <w:szCs w:val="24"/>
          <w:vertAlign w:val="superscript"/>
        </w:rPr>
        <w:t>2</w:t>
      </w:r>
      <w:r>
        <w:rPr>
          <w:rFonts w:ascii="Times New Roman" w:hAnsi="Times New Roman" w:cs="Times New Roman"/>
          <w:sz w:val="24"/>
          <w:szCs w:val="24"/>
        </w:rPr>
        <w:t xml:space="preserve">), Fisher et al (1991). Using a multistage systematic </w:t>
      </w:r>
      <w:r w:rsidR="00CC3113">
        <w:rPr>
          <w:rFonts w:ascii="Times New Roman" w:hAnsi="Times New Roman" w:cs="Times New Roman"/>
          <w:sz w:val="24"/>
          <w:szCs w:val="24"/>
        </w:rPr>
        <w:t>random sampling,</w:t>
      </w:r>
      <w:r w:rsidR="007467D1">
        <w:rPr>
          <w:rFonts w:ascii="Times New Roman" w:hAnsi="Times New Roman" w:cs="Times New Roman"/>
          <w:sz w:val="24"/>
          <w:szCs w:val="24"/>
        </w:rPr>
        <w:t xml:space="preserve"> </w:t>
      </w:r>
      <w:r>
        <w:rPr>
          <w:rFonts w:ascii="Times New Roman" w:hAnsi="Times New Roman" w:cs="Times New Roman"/>
          <w:sz w:val="24"/>
          <w:szCs w:val="24"/>
        </w:rPr>
        <w:t xml:space="preserve">community units </w:t>
      </w:r>
      <w:r w:rsidR="007467D1">
        <w:rPr>
          <w:rFonts w:ascii="Times New Roman" w:hAnsi="Times New Roman" w:cs="Times New Roman"/>
          <w:sz w:val="24"/>
          <w:szCs w:val="24"/>
        </w:rPr>
        <w:t xml:space="preserve">were </w:t>
      </w:r>
      <w:r>
        <w:rPr>
          <w:rFonts w:ascii="Times New Roman" w:hAnsi="Times New Roman" w:cs="Times New Roman"/>
          <w:sz w:val="24"/>
          <w:szCs w:val="24"/>
        </w:rPr>
        <w:t>selected from the two wards</w:t>
      </w:r>
      <w:r w:rsidR="007467D1">
        <w:rPr>
          <w:rFonts w:ascii="Times New Roman" w:hAnsi="Times New Roman" w:cs="Times New Roman"/>
          <w:sz w:val="24"/>
          <w:szCs w:val="24"/>
        </w:rPr>
        <w:t xml:space="preserve"> (Huruma and Ng’enyilel)</w:t>
      </w:r>
      <w:r>
        <w:rPr>
          <w:rFonts w:ascii="Times New Roman" w:hAnsi="Times New Roman" w:cs="Times New Roman"/>
          <w:sz w:val="24"/>
          <w:szCs w:val="24"/>
        </w:rPr>
        <w:t xml:space="preserve"> from which villages were random sampled. Every n</w:t>
      </w:r>
      <w:r w:rsidRPr="00DA4D1F">
        <w:rPr>
          <w:rFonts w:ascii="Times New Roman" w:hAnsi="Times New Roman" w:cs="Times New Roman"/>
          <w:sz w:val="24"/>
          <w:szCs w:val="24"/>
          <w:vertAlign w:val="superscript"/>
        </w:rPr>
        <w:t>th</w:t>
      </w:r>
      <w:r>
        <w:rPr>
          <w:rFonts w:ascii="Times New Roman" w:hAnsi="Times New Roman" w:cs="Times New Roman"/>
          <w:sz w:val="24"/>
          <w:szCs w:val="24"/>
        </w:rPr>
        <w:t xml:space="preserve"> child was selected from the villages and studied. Reliabilit</w:t>
      </w:r>
      <w:r w:rsidR="007467D1">
        <w:rPr>
          <w:rFonts w:ascii="Times New Roman" w:hAnsi="Times New Roman" w:cs="Times New Roman"/>
          <w:sz w:val="24"/>
          <w:szCs w:val="24"/>
        </w:rPr>
        <w:t xml:space="preserve">y was ensured by </w:t>
      </w:r>
      <w:r>
        <w:rPr>
          <w:rFonts w:ascii="Times New Roman" w:hAnsi="Times New Roman" w:cs="Times New Roman"/>
          <w:sz w:val="24"/>
          <w:szCs w:val="24"/>
        </w:rPr>
        <w:t>training the data collectors and clarifying questions. Exclusion from the study was done for caregiver, child or both who were not at home a</w:t>
      </w:r>
      <w:r w:rsidR="007467D1">
        <w:rPr>
          <w:rFonts w:ascii="Times New Roman" w:hAnsi="Times New Roman" w:cs="Times New Roman"/>
          <w:sz w:val="24"/>
          <w:szCs w:val="24"/>
        </w:rPr>
        <w:t xml:space="preserve">t the time of the study, </w:t>
      </w:r>
      <w:r>
        <w:rPr>
          <w:rFonts w:ascii="Times New Roman" w:hAnsi="Times New Roman" w:cs="Times New Roman"/>
          <w:sz w:val="24"/>
          <w:szCs w:val="24"/>
        </w:rPr>
        <w:t xml:space="preserve">and </w:t>
      </w:r>
      <w:r w:rsidR="00DA4D1F">
        <w:rPr>
          <w:rFonts w:ascii="Times New Roman" w:hAnsi="Times New Roman" w:cs="Times New Roman"/>
          <w:sz w:val="24"/>
          <w:szCs w:val="24"/>
        </w:rPr>
        <w:t xml:space="preserve">for </w:t>
      </w:r>
      <w:r>
        <w:rPr>
          <w:rFonts w:ascii="Times New Roman" w:hAnsi="Times New Roman" w:cs="Times New Roman"/>
          <w:sz w:val="24"/>
          <w:szCs w:val="24"/>
        </w:rPr>
        <w:t>mentally disabled caretakers who could not give coherent inform</w:t>
      </w:r>
      <w:r w:rsidR="00700E8F">
        <w:rPr>
          <w:rFonts w:ascii="Times New Roman" w:hAnsi="Times New Roman" w:cs="Times New Roman"/>
          <w:sz w:val="24"/>
          <w:szCs w:val="24"/>
        </w:rPr>
        <w:t xml:space="preserve">ation about their children. </w:t>
      </w:r>
      <w:r w:rsidR="003F21E3">
        <w:rPr>
          <w:rFonts w:ascii="Times New Roman" w:hAnsi="Times New Roman" w:cs="Times New Roman"/>
          <w:sz w:val="24"/>
          <w:szCs w:val="24"/>
        </w:rPr>
        <w:t>A questionnaire was used in this study and p</w:t>
      </w:r>
      <w:r w:rsidR="00700E8F">
        <w:rPr>
          <w:rFonts w:ascii="Times New Roman" w:hAnsi="Times New Roman" w:cs="Times New Roman"/>
          <w:sz w:val="24"/>
          <w:szCs w:val="24"/>
        </w:rPr>
        <w:t>re testing of the study</w:t>
      </w:r>
      <w:r>
        <w:rPr>
          <w:rFonts w:ascii="Times New Roman" w:hAnsi="Times New Roman" w:cs="Times New Roman"/>
          <w:sz w:val="24"/>
          <w:szCs w:val="24"/>
        </w:rPr>
        <w:t xml:space="preserve"> instruments </w:t>
      </w:r>
      <w:r w:rsidR="00700E8F">
        <w:rPr>
          <w:rFonts w:ascii="Times New Roman" w:hAnsi="Times New Roman" w:cs="Times New Roman"/>
          <w:sz w:val="24"/>
          <w:szCs w:val="24"/>
        </w:rPr>
        <w:t>was done in</w:t>
      </w:r>
      <w:r w:rsidR="007467D1">
        <w:rPr>
          <w:rFonts w:ascii="Times New Roman" w:hAnsi="Times New Roman" w:cs="Times New Roman"/>
          <w:sz w:val="24"/>
          <w:szCs w:val="24"/>
        </w:rPr>
        <w:t xml:space="preserve"> Kapsaos ward, </w:t>
      </w:r>
      <w:r w:rsidR="00700E8F">
        <w:rPr>
          <w:rFonts w:ascii="Times New Roman" w:hAnsi="Times New Roman" w:cs="Times New Roman"/>
          <w:sz w:val="24"/>
          <w:szCs w:val="24"/>
        </w:rPr>
        <w:t xml:space="preserve">which is one of the six wards in </w:t>
      </w:r>
      <w:r w:rsidR="007467D1">
        <w:rPr>
          <w:rFonts w:ascii="Times New Roman" w:hAnsi="Times New Roman" w:cs="Times New Roman"/>
          <w:sz w:val="24"/>
          <w:szCs w:val="24"/>
        </w:rPr>
        <w:t>Turbo Sub C</w:t>
      </w:r>
      <w:r>
        <w:rPr>
          <w:rFonts w:ascii="Times New Roman" w:hAnsi="Times New Roman" w:cs="Times New Roman"/>
          <w:sz w:val="24"/>
          <w:szCs w:val="24"/>
        </w:rPr>
        <w:t>ounty</w:t>
      </w:r>
      <w:r w:rsidR="00700E8F">
        <w:rPr>
          <w:rFonts w:ascii="Times New Roman" w:hAnsi="Times New Roman" w:cs="Times New Roman"/>
          <w:sz w:val="24"/>
          <w:szCs w:val="24"/>
        </w:rPr>
        <w:t>.</w:t>
      </w:r>
      <w:r>
        <w:rPr>
          <w:rFonts w:ascii="Times New Roman" w:hAnsi="Times New Roman" w:cs="Times New Roman"/>
          <w:sz w:val="24"/>
          <w:szCs w:val="24"/>
        </w:rPr>
        <w:t xml:space="preserve"> Data was collected by asking questions and filling in the questionnaires. </w:t>
      </w:r>
      <w:r w:rsidR="007467D1">
        <w:rPr>
          <w:rFonts w:ascii="Times New Roman" w:hAnsi="Times New Roman" w:cs="Times New Roman"/>
          <w:sz w:val="24"/>
          <w:szCs w:val="24"/>
        </w:rPr>
        <w:t>Every child’s length</w:t>
      </w:r>
      <w:r>
        <w:rPr>
          <w:rFonts w:ascii="Times New Roman" w:hAnsi="Times New Roman" w:cs="Times New Roman"/>
          <w:sz w:val="24"/>
          <w:szCs w:val="24"/>
        </w:rPr>
        <w:t xml:space="preserve"> was taken </w:t>
      </w:r>
      <w:r w:rsidR="007467D1">
        <w:rPr>
          <w:rFonts w:ascii="Times New Roman" w:hAnsi="Times New Roman" w:cs="Times New Roman"/>
          <w:sz w:val="24"/>
          <w:szCs w:val="24"/>
        </w:rPr>
        <w:t>u</w:t>
      </w:r>
      <w:r>
        <w:rPr>
          <w:rFonts w:ascii="Times New Roman" w:hAnsi="Times New Roman" w:cs="Times New Roman"/>
          <w:sz w:val="24"/>
          <w:szCs w:val="24"/>
        </w:rPr>
        <w:t xml:space="preserve">sing a length board and tallied in </w:t>
      </w:r>
      <w:r w:rsidR="007467D1">
        <w:rPr>
          <w:rFonts w:ascii="Times New Roman" w:hAnsi="Times New Roman" w:cs="Times New Roman"/>
          <w:sz w:val="24"/>
          <w:szCs w:val="24"/>
        </w:rPr>
        <w:t>the W</w:t>
      </w:r>
      <w:r>
        <w:rPr>
          <w:rFonts w:ascii="Times New Roman" w:hAnsi="Times New Roman" w:cs="Times New Roman"/>
          <w:sz w:val="24"/>
          <w:szCs w:val="24"/>
        </w:rPr>
        <w:t>eight</w:t>
      </w:r>
      <w:r w:rsidR="007467D1">
        <w:rPr>
          <w:rFonts w:ascii="Times New Roman" w:hAnsi="Times New Roman" w:cs="Times New Roman"/>
          <w:sz w:val="24"/>
          <w:szCs w:val="24"/>
        </w:rPr>
        <w:t xml:space="preserve"> for A</w:t>
      </w:r>
      <w:r>
        <w:rPr>
          <w:rFonts w:ascii="Times New Roman" w:hAnsi="Times New Roman" w:cs="Times New Roman"/>
          <w:sz w:val="24"/>
          <w:szCs w:val="24"/>
        </w:rPr>
        <w:t>ge growth chart from which stunting was determined</w:t>
      </w:r>
      <w:r w:rsidR="00977C5A">
        <w:rPr>
          <w:rFonts w:ascii="Times New Roman" w:hAnsi="Times New Roman" w:cs="Times New Roman"/>
          <w:sz w:val="24"/>
          <w:szCs w:val="24"/>
        </w:rPr>
        <w:t xml:space="preserve"> as below minus two standard deviations from the medium height for age of the reference population</w:t>
      </w:r>
      <w:r>
        <w:rPr>
          <w:rFonts w:ascii="Times New Roman" w:hAnsi="Times New Roman" w:cs="Times New Roman"/>
          <w:sz w:val="24"/>
          <w:szCs w:val="24"/>
        </w:rPr>
        <w:t>. Permission to collect</w:t>
      </w:r>
      <w:r w:rsidR="007467D1">
        <w:rPr>
          <w:rFonts w:ascii="Times New Roman" w:hAnsi="Times New Roman" w:cs="Times New Roman"/>
          <w:sz w:val="24"/>
          <w:szCs w:val="24"/>
        </w:rPr>
        <w:t xml:space="preserve"> data was sought from Kabarak University Ethics Research Committee and National Commission for Science and T</w:t>
      </w:r>
      <w:r>
        <w:rPr>
          <w:rFonts w:ascii="Times New Roman" w:hAnsi="Times New Roman" w:cs="Times New Roman"/>
          <w:sz w:val="24"/>
          <w:szCs w:val="24"/>
        </w:rPr>
        <w:t xml:space="preserve">echnology. </w:t>
      </w:r>
    </w:p>
    <w:p w:rsidR="000A73E1" w:rsidRDefault="000A73E1" w:rsidP="000D229D">
      <w:pPr>
        <w:spacing w:after="0" w:line="360" w:lineRule="auto"/>
        <w:rPr>
          <w:rFonts w:ascii="Times New Roman" w:hAnsi="Times New Roman" w:cs="Times New Roman"/>
          <w:b/>
          <w:sz w:val="24"/>
          <w:szCs w:val="24"/>
        </w:rPr>
      </w:pPr>
    </w:p>
    <w:p w:rsidR="00932B23" w:rsidRPr="00047CA2" w:rsidRDefault="0086220E" w:rsidP="000D229D">
      <w:pPr>
        <w:spacing w:after="0" w:line="360" w:lineRule="auto"/>
        <w:rPr>
          <w:rFonts w:ascii="Times New Roman" w:hAnsi="Times New Roman" w:cs="Times New Roman"/>
          <w:b/>
          <w:sz w:val="24"/>
          <w:szCs w:val="24"/>
        </w:rPr>
      </w:pPr>
      <w:r w:rsidRPr="00047CA2">
        <w:rPr>
          <w:rFonts w:ascii="Times New Roman" w:hAnsi="Times New Roman" w:cs="Times New Roman"/>
          <w:b/>
          <w:sz w:val="24"/>
          <w:szCs w:val="24"/>
        </w:rPr>
        <w:t>Results</w:t>
      </w:r>
      <w:bookmarkStart w:id="0" w:name="_Toc15113583"/>
    </w:p>
    <w:p w:rsidR="00932B23" w:rsidRPr="00AE1DA1" w:rsidRDefault="00932B23" w:rsidP="00711048">
      <w:pPr>
        <w:pStyle w:val="Heading3"/>
        <w:spacing w:before="0" w:line="360" w:lineRule="auto"/>
        <w:jc w:val="both"/>
        <w:rPr>
          <w:rFonts w:ascii="Times New Roman" w:hAnsi="Times New Roman" w:cs="Times New Roman"/>
          <w:color w:val="auto"/>
          <w:sz w:val="24"/>
          <w:szCs w:val="24"/>
        </w:rPr>
      </w:pPr>
      <w:r w:rsidRPr="00AE1DA1">
        <w:rPr>
          <w:rFonts w:ascii="Times New Roman" w:hAnsi="Times New Roman" w:cs="Times New Roman"/>
          <w:color w:val="auto"/>
          <w:sz w:val="24"/>
          <w:szCs w:val="24"/>
        </w:rPr>
        <w:t>Demographic information</w:t>
      </w:r>
      <w:bookmarkEnd w:id="0"/>
    </w:p>
    <w:p w:rsidR="00932B23" w:rsidRDefault="00932B23" w:rsidP="007110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section presents data on </w:t>
      </w:r>
      <w:r w:rsidRPr="002C30B7">
        <w:rPr>
          <w:rFonts w:ascii="Times New Roman" w:hAnsi="Times New Roman" w:cs="Times New Roman"/>
          <w:sz w:val="24"/>
          <w:szCs w:val="24"/>
        </w:rPr>
        <w:t>respondent</w:t>
      </w:r>
      <w:r>
        <w:rPr>
          <w:rFonts w:ascii="Times New Roman" w:hAnsi="Times New Roman" w:cs="Times New Roman"/>
          <w:sz w:val="24"/>
          <w:szCs w:val="24"/>
        </w:rPr>
        <w:t>’s information. Children who participated in the study were distributed from ages 0-23 months</w:t>
      </w:r>
      <w:r w:rsidR="00E815B3">
        <w:rPr>
          <w:rFonts w:ascii="Times New Roman" w:hAnsi="Times New Roman" w:cs="Times New Roman"/>
          <w:sz w:val="24"/>
          <w:szCs w:val="24"/>
        </w:rPr>
        <w:t xml:space="preserve"> </w:t>
      </w:r>
      <w:r>
        <w:rPr>
          <w:rFonts w:ascii="Times New Roman" w:hAnsi="Times New Roman" w:cs="Times New Roman"/>
          <w:sz w:val="24"/>
          <w:szCs w:val="24"/>
        </w:rPr>
        <w:t xml:space="preserve">with 30.5% being between 18-23 months and 18.7% at </w:t>
      </w:r>
      <w:r>
        <w:rPr>
          <w:rFonts w:ascii="Times New Roman" w:hAnsi="Times New Roman" w:cs="Times New Roman"/>
          <w:sz w:val="24"/>
          <w:szCs w:val="24"/>
        </w:rPr>
        <w:lastRenderedPageBreak/>
        <w:t>0-6 months. There was significant difference in the distribution of stunting across different age groups with χ</w:t>
      </w:r>
      <w:r w:rsidRPr="00884410">
        <w:rPr>
          <w:rFonts w:ascii="Times New Roman" w:hAnsi="Times New Roman" w:cs="Times New Roman"/>
          <w:sz w:val="24"/>
          <w:szCs w:val="24"/>
          <w:vertAlign w:val="superscript"/>
        </w:rPr>
        <w:t>2</w:t>
      </w:r>
      <w:r>
        <w:rPr>
          <w:rFonts w:ascii="Times New Roman" w:hAnsi="Times New Roman" w:cs="Times New Roman"/>
          <w:sz w:val="24"/>
          <w:szCs w:val="24"/>
        </w:rPr>
        <w:t xml:space="preserve"> (p=0.041) between urban and rural children and distribution between males and females at</w:t>
      </w:r>
      <w:r w:rsidRPr="00AD3523">
        <w:rPr>
          <w:rFonts w:ascii="Times New Roman" w:hAnsi="Times New Roman" w:cs="Times New Roman"/>
          <w:sz w:val="24"/>
          <w:szCs w:val="24"/>
        </w:rPr>
        <w:t xml:space="preserve"> </w:t>
      </w:r>
      <w:r>
        <w:rPr>
          <w:rFonts w:ascii="Times New Roman" w:hAnsi="Times New Roman" w:cs="Times New Roman"/>
          <w:sz w:val="24"/>
          <w:szCs w:val="24"/>
        </w:rPr>
        <w:t>χ</w:t>
      </w:r>
      <w:r w:rsidRPr="00884410">
        <w:rPr>
          <w:rFonts w:ascii="Times New Roman" w:hAnsi="Times New Roman" w:cs="Times New Roman"/>
          <w:sz w:val="24"/>
          <w:szCs w:val="24"/>
          <w:vertAlign w:val="superscript"/>
        </w:rPr>
        <w:t>2</w:t>
      </w:r>
      <w:r>
        <w:rPr>
          <w:rFonts w:ascii="Times New Roman" w:hAnsi="Times New Roman" w:cs="Times New Roman"/>
          <w:sz w:val="24"/>
          <w:szCs w:val="24"/>
        </w:rPr>
        <w:t xml:space="preserve"> (p=0.001</w:t>
      </w:r>
      <w:r w:rsidRPr="00D21135">
        <w:rPr>
          <w:rFonts w:ascii="Times New Roman" w:hAnsi="Times New Roman" w:cs="Times New Roman"/>
          <w:sz w:val="24"/>
          <w:szCs w:val="24"/>
        </w:rPr>
        <w:t>)</w:t>
      </w:r>
      <w:r>
        <w:rPr>
          <w:rFonts w:ascii="Times New Roman" w:hAnsi="Times New Roman" w:cs="Times New Roman"/>
          <w:sz w:val="24"/>
          <w:szCs w:val="24"/>
        </w:rPr>
        <w:t xml:space="preserve"> with more females stunted than males. Most of the children were taken care of by their biological mothers (92.1%). </w:t>
      </w:r>
      <w:r w:rsidR="00047CA2">
        <w:rPr>
          <w:rFonts w:ascii="Times New Roman" w:hAnsi="Times New Roman" w:cs="Times New Roman"/>
          <w:sz w:val="24"/>
          <w:szCs w:val="24"/>
        </w:rPr>
        <w:t>See Table 1</w:t>
      </w:r>
    </w:p>
    <w:p w:rsidR="00932B23" w:rsidRPr="00605B01" w:rsidRDefault="00932B23" w:rsidP="00DB18B7">
      <w:pPr>
        <w:pStyle w:val="Heading4"/>
        <w:spacing w:line="240" w:lineRule="auto"/>
        <w:rPr>
          <w:rFonts w:ascii="Times New Roman" w:hAnsi="Times New Roman" w:cs="Times New Roman"/>
          <w:i w:val="0"/>
          <w:color w:val="auto"/>
          <w:sz w:val="24"/>
          <w:szCs w:val="24"/>
        </w:rPr>
      </w:pPr>
      <w:bookmarkStart w:id="1" w:name="_Toc5363706"/>
      <w:bookmarkStart w:id="2" w:name="_Toc14839542"/>
      <w:r w:rsidRPr="00605B01">
        <w:rPr>
          <w:rFonts w:ascii="Times New Roman" w:hAnsi="Times New Roman" w:cs="Times New Roman"/>
          <w:i w:val="0"/>
          <w:color w:val="auto"/>
          <w:sz w:val="24"/>
          <w:szCs w:val="24"/>
        </w:rPr>
        <w:t xml:space="preserve">Table </w:t>
      </w:r>
      <w:r>
        <w:rPr>
          <w:rFonts w:ascii="Times New Roman" w:hAnsi="Times New Roman" w:cs="Times New Roman"/>
          <w:i w:val="0"/>
          <w:color w:val="auto"/>
          <w:sz w:val="24"/>
          <w:szCs w:val="24"/>
        </w:rPr>
        <w:t>1</w:t>
      </w:r>
      <w:r w:rsidRPr="00605B01">
        <w:rPr>
          <w:rFonts w:ascii="Times New Roman" w:hAnsi="Times New Roman" w:cs="Times New Roman"/>
          <w:i w:val="0"/>
          <w:color w:val="auto"/>
          <w:sz w:val="24"/>
          <w:szCs w:val="24"/>
        </w:rPr>
        <w:t>: Respondents Demographic Information</w:t>
      </w:r>
      <w:bookmarkEnd w:id="1"/>
      <w:bookmarkEnd w:id="2"/>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2341"/>
        <w:gridCol w:w="1168"/>
        <w:gridCol w:w="1262"/>
        <w:gridCol w:w="1260"/>
        <w:gridCol w:w="1170"/>
        <w:gridCol w:w="1097"/>
      </w:tblGrid>
      <w:tr w:rsidR="00932B23" w:rsidRPr="000D229D" w:rsidTr="00932B23">
        <w:trPr>
          <w:trHeight w:val="332"/>
        </w:trPr>
        <w:tc>
          <w:tcPr>
            <w:tcW w:w="667" w:type="pct"/>
            <w:vMerge w:val="restart"/>
            <w:tcBorders>
              <w:top w:val="single" w:sz="4" w:space="0" w:color="auto"/>
              <w:bottom w:val="nil"/>
            </w:tcBorders>
          </w:tcPr>
          <w:p w:rsidR="00932B23" w:rsidRPr="000D229D" w:rsidRDefault="00932B23" w:rsidP="00DB18B7">
            <w:pPr>
              <w:jc w:val="center"/>
              <w:rPr>
                <w:rFonts w:ascii="Times New Roman" w:hAnsi="Times New Roman" w:cs="Times New Roman"/>
                <w:sz w:val="20"/>
                <w:szCs w:val="20"/>
              </w:rPr>
            </w:pPr>
          </w:p>
        </w:tc>
        <w:tc>
          <w:tcPr>
            <w:tcW w:w="1222" w:type="pct"/>
            <w:vMerge w:val="restart"/>
            <w:tcBorders>
              <w:top w:val="single" w:sz="4" w:space="0" w:color="auto"/>
              <w:bottom w:val="nil"/>
            </w:tcBorders>
          </w:tcPr>
          <w:p w:rsidR="00932B23" w:rsidRPr="000D229D" w:rsidRDefault="00932B23" w:rsidP="00DB18B7">
            <w:pPr>
              <w:jc w:val="center"/>
              <w:rPr>
                <w:rFonts w:ascii="Times New Roman" w:hAnsi="Times New Roman" w:cs="Times New Roman"/>
                <w:sz w:val="20"/>
                <w:szCs w:val="20"/>
              </w:rPr>
            </w:pPr>
          </w:p>
          <w:p w:rsidR="00932B23" w:rsidRPr="000D229D" w:rsidRDefault="00932B23" w:rsidP="00DB18B7">
            <w:pPr>
              <w:jc w:val="center"/>
              <w:rPr>
                <w:rFonts w:ascii="Times New Roman" w:hAnsi="Times New Roman" w:cs="Times New Roman"/>
                <w:sz w:val="20"/>
                <w:szCs w:val="20"/>
              </w:rPr>
            </w:pPr>
          </w:p>
        </w:tc>
        <w:tc>
          <w:tcPr>
            <w:tcW w:w="1269" w:type="pct"/>
            <w:gridSpan w:val="2"/>
            <w:tcBorders>
              <w:top w:val="single" w:sz="4" w:space="0" w:color="auto"/>
              <w:bottom w:val="nil"/>
            </w:tcBorders>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Residence</w:t>
            </w:r>
          </w:p>
          <w:p w:rsidR="00932B23" w:rsidRPr="000D229D" w:rsidRDefault="00932B23" w:rsidP="00DB18B7">
            <w:pPr>
              <w:jc w:val="center"/>
              <w:rPr>
                <w:rFonts w:ascii="Times New Roman" w:hAnsi="Times New Roman" w:cs="Times New Roman"/>
                <w:sz w:val="20"/>
                <w:szCs w:val="20"/>
              </w:rPr>
            </w:pPr>
          </w:p>
        </w:tc>
        <w:tc>
          <w:tcPr>
            <w:tcW w:w="658" w:type="pct"/>
            <w:vMerge w:val="restart"/>
            <w:tcBorders>
              <w:top w:val="single" w:sz="4" w:space="0" w:color="auto"/>
              <w:bottom w:val="nil"/>
            </w:tcBorders>
          </w:tcPr>
          <w:p w:rsidR="00932B23" w:rsidRPr="000D229D" w:rsidRDefault="00932B23" w:rsidP="00DB18B7">
            <w:pPr>
              <w:jc w:val="center"/>
              <w:rPr>
                <w:rFonts w:ascii="Times New Roman" w:hAnsi="Times New Roman" w:cs="Times New Roman"/>
                <w:sz w:val="20"/>
                <w:szCs w:val="20"/>
              </w:rPr>
            </w:pPr>
          </w:p>
          <w:p w:rsidR="00932B23" w:rsidRPr="000D229D" w:rsidRDefault="00932B23" w:rsidP="00DB18B7">
            <w:pPr>
              <w:jc w:val="center"/>
              <w:rPr>
                <w:rFonts w:ascii="Times New Roman" w:hAnsi="Times New Roman" w:cs="Times New Roman"/>
                <w:sz w:val="20"/>
                <w:szCs w:val="20"/>
              </w:rPr>
            </w:pPr>
          </w:p>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Total</w:t>
            </w:r>
          </w:p>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n=331</w:t>
            </w:r>
          </w:p>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n (%)</w:t>
            </w:r>
          </w:p>
        </w:tc>
        <w:tc>
          <w:tcPr>
            <w:tcW w:w="611" w:type="pct"/>
            <w:vMerge w:val="restart"/>
            <w:tcBorders>
              <w:top w:val="single" w:sz="4" w:space="0" w:color="auto"/>
              <w:bottom w:val="nil"/>
            </w:tcBorders>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Chi square results</w:t>
            </w:r>
          </w:p>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 xml:space="preserve">P value =0.05 </w:t>
            </w:r>
          </w:p>
        </w:tc>
        <w:tc>
          <w:tcPr>
            <w:tcW w:w="573" w:type="pct"/>
            <w:vMerge w:val="restart"/>
            <w:tcBorders>
              <w:top w:val="single" w:sz="4" w:space="0" w:color="auto"/>
              <w:bottom w:val="nil"/>
            </w:tcBorders>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 xml:space="preserve"> Fisher exact test</w:t>
            </w:r>
          </w:p>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P value =0.05</w:t>
            </w:r>
          </w:p>
          <w:p w:rsidR="00932B23" w:rsidRPr="000D229D" w:rsidRDefault="00932B23" w:rsidP="00DB18B7">
            <w:pPr>
              <w:jc w:val="center"/>
              <w:rPr>
                <w:rFonts w:ascii="Times New Roman" w:hAnsi="Times New Roman" w:cs="Times New Roman"/>
                <w:sz w:val="20"/>
                <w:szCs w:val="20"/>
              </w:rPr>
            </w:pPr>
          </w:p>
        </w:tc>
      </w:tr>
      <w:tr w:rsidR="00932B23" w:rsidRPr="000D229D" w:rsidTr="00932B23">
        <w:trPr>
          <w:trHeight w:val="550"/>
        </w:trPr>
        <w:tc>
          <w:tcPr>
            <w:tcW w:w="667" w:type="pct"/>
            <w:vMerge/>
            <w:tcBorders>
              <w:top w:val="nil"/>
              <w:bottom w:val="single" w:sz="4" w:space="0" w:color="auto"/>
            </w:tcBorders>
          </w:tcPr>
          <w:p w:rsidR="00932B23" w:rsidRPr="000D229D" w:rsidRDefault="00932B23" w:rsidP="00DB18B7">
            <w:pPr>
              <w:jc w:val="center"/>
              <w:rPr>
                <w:rFonts w:ascii="Times New Roman" w:hAnsi="Times New Roman" w:cs="Times New Roman"/>
                <w:sz w:val="20"/>
                <w:szCs w:val="20"/>
              </w:rPr>
            </w:pPr>
          </w:p>
        </w:tc>
        <w:tc>
          <w:tcPr>
            <w:tcW w:w="1222" w:type="pct"/>
            <w:vMerge/>
            <w:tcBorders>
              <w:top w:val="nil"/>
              <w:bottom w:val="single" w:sz="4" w:space="0" w:color="auto"/>
            </w:tcBorders>
          </w:tcPr>
          <w:p w:rsidR="00932B23" w:rsidRPr="000D229D" w:rsidRDefault="00932B23" w:rsidP="00DB18B7">
            <w:pPr>
              <w:jc w:val="center"/>
              <w:rPr>
                <w:rFonts w:ascii="Times New Roman" w:hAnsi="Times New Roman" w:cs="Times New Roman"/>
                <w:sz w:val="20"/>
                <w:szCs w:val="20"/>
              </w:rPr>
            </w:pPr>
          </w:p>
        </w:tc>
        <w:tc>
          <w:tcPr>
            <w:tcW w:w="610" w:type="pct"/>
            <w:tcBorders>
              <w:top w:val="nil"/>
              <w:bottom w:val="single" w:sz="4" w:space="0" w:color="auto"/>
            </w:tcBorders>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 xml:space="preserve">Urban </w:t>
            </w:r>
          </w:p>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n=215</w:t>
            </w:r>
          </w:p>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n (%)</w:t>
            </w:r>
          </w:p>
        </w:tc>
        <w:tc>
          <w:tcPr>
            <w:tcW w:w="659" w:type="pct"/>
            <w:tcBorders>
              <w:top w:val="nil"/>
              <w:bottom w:val="single" w:sz="4" w:space="0" w:color="auto"/>
            </w:tcBorders>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Rural</w:t>
            </w:r>
          </w:p>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n=116</w:t>
            </w:r>
          </w:p>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n (%)</w:t>
            </w:r>
          </w:p>
        </w:tc>
        <w:tc>
          <w:tcPr>
            <w:tcW w:w="658" w:type="pct"/>
            <w:vMerge/>
            <w:tcBorders>
              <w:top w:val="nil"/>
              <w:bottom w:val="single" w:sz="4" w:space="0" w:color="auto"/>
            </w:tcBorders>
          </w:tcPr>
          <w:p w:rsidR="00932B23" w:rsidRPr="000D229D" w:rsidRDefault="00932B23" w:rsidP="00DB18B7">
            <w:pPr>
              <w:jc w:val="center"/>
              <w:rPr>
                <w:rFonts w:ascii="Times New Roman" w:hAnsi="Times New Roman" w:cs="Times New Roman"/>
                <w:sz w:val="20"/>
                <w:szCs w:val="20"/>
              </w:rPr>
            </w:pPr>
          </w:p>
        </w:tc>
        <w:tc>
          <w:tcPr>
            <w:tcW w:w="611" w:type="pct"/>
            <w:vMerge/>
            <w:tcBorders>
              <w:top w:val="nil"/>
              <w:bottom w:val="single" w:sz="4" w:space="0" w:color="auto"/>
            </w:tcBorders>
          </w:tcPr>
          <w:p w:rsidR="00932B23" w:rsidRPr="000D229D" w:rsidRDefault="00932B23" w:rsidP="00DB18B7">
            <w:pPr>
              <w:jc w:val="center"/>
              <w:rPr>
                <w:rFonts w:ascii="Times New Roman" w:hAnsi="Times New Roman" w:cs="Times New Roman"/>
                <w:sz w:val="20"/>
                <w:szCs w:val="20"/>
              </w:rPr>
            </w:pPr>
          </w:p>
        </w:tc>
        <w:tc>
          <w:tcPr>
            <w:tcW w:w="573" w:type="pct"/>
            <w:vMerge/>
            <w:tcBorders>
              <w:top w:val="nil"/>
              <w:bottom w:val="single" w:sz="4" w:space="0" w:color="auto"/>
            </w:tcBorders>
          </w:tcPr>
          <w:p w:rsidR="00932B23" w:rsidRPr="000D229D" w:rsidRDefault="00932B23" w:rsidP="00DB18B7">
            <w:pPr>
              <w:jc w:val="center"/>
              <w:rPr>
                <w:rFonts w:ascii="Times New Roman" w:hAnsi="Times New Roman" w:cs="Times New Roman"/>
                <w:sz w:val="20"/>
                <w:szCs w:val="20"/>
              </w:rPr>
            </w:pPr>
          </w:p>
        </w:tc>
      </w:tr>
      <w:tr w:rsidR="00932B23" w:rsidRPr="000D229D" w:rsidTr="00932B23">
        <w:trPr>
          <w:trHeight w:val="224"/>
        </w:trPr>
        <w:tc>
          <w:tcPr>
            <w:tcW w:w="667" w:type="pct"/>
            <w:vMerge w:val="restart"/>
            <w:tcBorders>
              <w:top w:val="single" w:sz="4" w:space="0" w:color="auto"/>
            </w:tcBorders>
          </w:tcPr>
          <w:p w:rsidR="00932B23" w:rsidRPr="000D229D" w:rsidRDefault="00932B23" w:rsidP="00DB18B7">
            <w:pPr>
              <w:rPr>
                <w:rFonts w:ascii="Times New Roman" w:hAnsi="Times New Roman" w:cs="Times New Roman"/>
                <w:sz w:val="20"/>
                <w:szCs w:val="20"/>
              </w:rPr>
            </w:pPr>
            <w:r w:rsidRPr="000D229D">
              <w:rPr>
                <w:rFonts w:ascii="Times New Roman" w:hAnsi="Times New Roman" w:cs="Times New Roman"/>
                <w:sz w:val="20"/>
                <w:szCs w:val="20"/>
              </w:rPr>
              <w:t>Child’s age group</w:t>
            </w:r>
          </w:p>
        </w:tc>
        <w:tc>
          <w:tcPr>
            <w:tcW w:w="1222" w:type="pct"/>
            <w:tcBorders>
              <w:top w:val="single" w:sz="4" w:space="0" w:color="auto"/>
            </w:tcBorders>
          </w:tcPr>
          <w:p w:rsidR="00932B23" w:rsidRPr="000D229D" w:rsidRDefault="00932B23" w:rsidP="00DB18B7">
            <w:pPr>
              <w:rPr>
                <w:rFonts w:ascii="Times New Roman" w:hAnsi="Times New Roman" w:cs="Times New Roman"/>
                <w:sz w:val="20"/>
                <w:szCs w:val="20"/>
              </w:rPr>
            </w:pPr>
            <w:r w:rsidRPr="000D229D">
              <w:rPr>
                <w:rFonts w:ascii="Times New Roman" w:hAnsi="Times New Roman" w:cs="Times New Roman"/>
                <w:sz w:val="20"/>
                <w:szCs w:val="20"/>
              </w:rPr>
              <w:t>0-&lt;6</w:t>
            </w:r>
          </w:p>
        </w:tc>
        <w:tc>
          <w:tcPr>
            <w:tcW w:w="610" w:type="pct"/>
            <w:tcBorders>
              <w:top w:val="single" w:sz="4" w:space="0" w:color="auto"/>
            </w:tcBorders>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34(15.8)</w:t>
            </w:r>
          </w:p>
        </w:tc>
        <w:tc>
          <w:tcPr>
            <w:tcW w:w="659" w:type="pct"/>
            <w:tcBorders>
              <w:top w:val="single" w:sz="4" w:space="0" w:color="auto"/>
            </w:tcBorders>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28 (24.1)</w:t>
            </w:r>
          </w:p>
        </w:tc>
        <w:tc>
          <w:tcPr>
            <w:tcW w:w="658" w:type="pct"/>
            <w:tcBorders>
              <w:top w:val="single" w:sz="4" w:space="0" w:color="auto"/>
            </w:tcBorders>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62(18.7)</w:t>
            </w:r>
          </w:p>
        </w:tc>
        <w:tc>
          <w:tcPr>
            <w:tcW w:w="611" w:type="pct"/>
            <w:vMerge w:val="restart"/>
            <w:tcBorders>
              <w:top w:val="single" w:sz="4" w:space="0" w:color="auto"/>
            </w:tcBorders>
          </w:tcPr>
          <w:p w:rsidR="00932B23" w:rsidRPr="000D229D" w:rsidRDefault="00932B23" w:rsidP="00DB18B7">
            <w:pPr>
              <w:jc w:val="center"/>
              <w:rPr>
                <w:rFonts w:ascii="Times New Roman" w:hAnsi="Times New Roman" w:cs="Times New Roman"/>
                <w:b/>
                <w:sz w:val="20"/>
                <w:szCs w:val="20"/>
              </w:rPr>
            </w:pPr>
          </w:p>
          <w:p w:rsidR="00932B23" w:rsidRPr="000D229D" w:rsidRDefault="00932B23" w:rsidP="00DB18B7">
            <w:pPr>
              <w:jc w:val="center"/>
              <w:rPr>
                <w:rFonts w:ascii="Times New Roman" w:hAnsi="Times New Roman" w:cs="Times New Roman"/>
                <w:b/>
                <w:sz w:val="20"/>
                <w:szCs w:val="20"/>
              </w:rPr>
            </w:pPr>
            <w:r w:rsidRPr="000D229D">
              <w:rPr>
                <w:rFonts w:ascii="Times New Roman" w:hAnsi="Times New Roman" w:cs="Times New Roman"/>
                <w:b/>
                <w:sz w:val="20"/>
                <w:szCs w:val="20"/>
              </w:rPr>
              <w:t>0.041*</w:t>
            </w:r>
          </w:p>
        </w:tc>
        <w:tc>
          <w:tcPr>
            <w:tcW w:w="573" w:type="pct"/>
            <w:vMerge w:val="restart"/>
            <w:tcBorders>
              <w:top w:val="single" w:sz="4" w:space="0" w:color="auto"/>
            </w:tcBorders>
          </w:tcPr>
          <w:p w:rsidR="00932B23" w:rsidRPr="000D229D" w:rsidRDefault="00932B23" w:rsidP="00DB18B7">
            <w:pPr>
              <w:jc w:val="center"/>
              <w:rPr>
                <w:rFonts w:ascii="Times New Roman" w:hAnsi="Times New Roman" w:cs="Times New Roman"/>
                <w:b/>
                <w:sz w:val="20"/>
                <w:szCs w:val="20"/>
              </w:rPr>
            </w:pPr>
          </w:p>
          <w:p w:rsidR="00932B23" w:rsidRPr="000D229D" w:rsidRDefault="00932B23" w:rsidP="00DB18B7">
            <w:pPr>
              <w:jc w:val="center"/>
              <w:rPr>
                <w:rFonts w:ascii="Times New Roman" w:hAnsi="Times New Roman" w:cs="Times New Roman"/>
                <w:b/>
                <w:sz w:val="20"/>
                <w:szCs w:val="20"/>
              </w:rPr>
            </w:pPr>
            <w:r w:rsidRPr="000D229D">
              <w:rPr>
                <w:rFonts w:ascii="Times New Roman" w:hAnsi="Times New Roman" w:cs="Times New Roman"/>
                <w:b/>
                <w:sz w:val="20"/>
                <w:szCs w:val="20"/>
              </w:rPr>
              <w:t>***</w:t>
            </w:r>
          </w:p>
        </w:tc>
      </w:tr>
      <w:tr w:rsidR="00932B23" w:rsidRPr="000D229D" w:rsidTr="00932B23">
        <w:trPr>
          <w:trHeight w:val="278"/>
        </w:trPr>
        <w:tc>
          <w:tcPr>
            <w:tcW w:w="667" w:type="pct"/>
            <w:vMerge/>
          </w:tcPr>
          <w:p w:rsidR="00932B23" w:rsidRPr="000D229D" w:rsidRDefault="00932B23" w:rsidP="00DB18B7">
            <w:pPr>
              <w:jc w:val="center"/>
              <w:rPr>
                <w:rFonts w:ascii="Times New Roman" w:hAnsi="Times New Roman" w:cs="Times New Roman"/>
                <w:sz w:val="20"/>
                <w:szCs w:val="20"/>
              </w:rPr>
            </w:pPr>
          </w:p>
        </w:tc>
        <w:tc>
          <w:tcPr>
            <w:tcW w:w="1222" w:type="pct"/>
          </w:tcPr>
          <w:p w:rsidR="00932B23" w:rsidRPr="000D229D" w:rsidRDefault="00932B23" w:rsidP="00DB18B7">
            <w:pPr>
              <w:rPr>
                <w:rFonts w:ascii="Times New Roman" w:hAnsi="Times New Roman" w:cs="Times New Roman"/>
                <w:sz w:val="20"/>
                <w:szCs w:val="20"/>
              </w:rPr>
            </w:pPr>
            <w:r w:rsidRPr="000D229D">
              <w:rPr>
                <w:rFonts w:ascii="Times New Roman" w:hAnsi="Times New Roman" w:cs="Times New Roman"/>
                <w:sz w:val="20"/>
                <w:szCs w:val="20"/>
              </w:rPr>
              <w:t>6-11</w:t>
            </w:r>
          </w:p>
        </w:tc>
        <w:tc>
          <w:tcPr>
            <w:tcW w:w="610"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60 (27.9)</w:t>
            </w:r>
          </w:p>
        </w:tc>
        <w:tc>
          <w:tcPr>
            <w:tcW w:w="659"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22 (19.0)</w:t>
            </w:r>
          </w:p>
        </w:tc>
        <w:tc>
          <w:tcPr>
            <w:tcW w:w="658"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82(24.8)</w:t>
            </w:r>
          </w:p>
        </w:tc>
        <w:tc>
          <w:tcPr>
            <w:tcW w:w="611" w:type="pct"/>
            <w:vMerge/>
          </w:tcPr>
          <w:p w:rsidR="00932B23" w:rsidRPr="000D229D" w:rsidRDefault="00932B23" w:rsidP="00DB18B7">
            <w:pPr>
              <w:jc w:val="center"/>
              <w:rPr>
                <w:rFonts w:ascii="Times New Roman" w:hAnsi="Times New Roman" w:cs="Times New Roman"/>
                <w:sz w:val="20"/>
                <w:szCs w:val="20"/>
              </w:rPr>
            </w:pPr>
          </w:p>
        </w:tc>
        <w:tc>
          <w:tcPr>
            <w:tcW w:w="573" w:type="pct"/>
            <w:vMerge/>
          </w:tcPr>
          <w:p w:rsidR="00932B23" w:rsidRPr="000D229D" w:rsidRDefault="00932B23" w:rsidP="00DB18B7">
            <w:pPr>
              <w:jc w:val="center"/>
              <w:rPr>
                <w:rFonts w:ascii="Times New Roman" w:hAnsi="Times New Roman" w:cs="Times New Roman"/>
                <w:sz w:val="20"/>
                <w:szCs w:val="20"/>
              </w:rPr>
            </w:pPr>
          </w:p>
        </w:tc>
      </w:tr>
      <w:tr w:rsidR="00932B23" w:rsidRPr="000D229D" w:rsidTr="00932B23">
        <w:trPr>
          <w:trHeight w:val="269"/>
        </w:trPr>
        <w:tc>
          <w:tcPr>
            <w:tcW w:w="667" w:type="pct"/>
            <w:vMerge/>
          </w:tcPr>
          <w:p w:rsidR="00932B23" w:rsidRPr="000D229D" w:rsidRDefault="00932B23" w:rsidP="00DB18B7">
            <w:pPr>
              <w:jc w:val="center"/>
              <w:rPr>
                <w:rFonts w:ascii="Times New Roman" w:hAnsi="Times New Roman" w:cs="Times New Roman"/>
                <w:sz w:val="20"/>
                <w:szCs w:val="20"/>
              </w:rPr>
            </w:pPr>
          </w:p>
        </w:tc>
        <w:tc>
          <w:tcPr>
            <w:tcW w:w="1222" w:type="pct"/>
          </w:tcPr>
          <w:p w:rsidR="00932B23" w:rsidRPr="000D229D" w:rsidRDefault="00932B23" w:rsidP="00DB18B7">
            <w:pPr>
              <w:rPr>
                <w:rFonts w:ascii="Times New Roman" w:hAnsi="Times New Roman" w:cs="Times New Roman"/>
                <w:sz w:val="20"/>
                <w:szCs w:val="20"/>
              </w:rPr>
            </w:pPr>
            <w:r w:rsidRPr="000D229D">
              <w:rPr>
                <w:rFonts w:ascii="Times New Roman" w:hAnsi="Times New Roman" w:cs="Times New Roman"/>
                <w:sz w:val="20"/>
                <w:szCs w:val="20"/>
              </w:rPr>
              <w:t>12-17</w:t>
            </w:r>
          </w:p>
        </w:tc>
        <w:tc>
          <w:tcPr>
            <w:tcW w:w="610"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55 (25.6)</w:t>
            </w:r>
          </w:p>
        </w:tc>
        <w:tc>
          <w:tcPr>
            <w:tcW w:w="659"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31 (26.7)</w:t>
            </w:r>
          </w:p>
        </w:tc>
        <w:tc>
          <w:tcPr>
            <w:tcW w:w="658"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86(26.0)</w:t>
            </w:r>
          </w:p>
        </w:tc>
        <w:tc>
          <w:tcPr>
            <w:tcW w:w="611" w:type="pct"/>
            <w:vMerge/>
          </w:tcPr>
          <w:p w:rsidR="00932B23" w:rsidRPr="000D229D" w:rsidRDefault="00932B23" w:rsidP="00DB18B7">
            <w:pPr>
              <w:jc w:val="center"/>
              <w:rPr>
                <w:rFonts w:ascii="Times New Roman" w:hAnsi="Times New Roman" w:cs="Times New Roman"/>
                <w:sz w:val="20"/>
                <w:szCs w:val="20"/>
              </w:rPr>
            </w:pPr>
          </w:p>
        </w:tc>
        <w:tc>
          <w:tcPr>
            <w:tcW w:w="573" w:type="pct"/>
            <w:vMerge/>
          </w:tcPr>
          <w:p w:rsidR="00932B23" w:rsidRPr="000D229D" w:rsidRDefault="00932B23" w:rsidP="00DB18B7">
            <w:pPr>
              <w:jc w:val="center"/>
              <w:rPr>
                <w:rFonts w:ascii="Times New Roman" w:hAnsi="Times New Roman" w:cs="Times New Roman"/>
                <w:sz w:val="20"/>
                <w:szCs w:val="20"/>
              </w:rPr>
            </w:pPr>
          </w:p>
        </w:tc>
      </w:tr>
      <w:tr w:rsidR="00932B23" w:rsidRPr="000D229D" w:rsidTr="00932B23">
        <w:trPr>
          <w:trHeight w:val="234"/>
        </w:trPr>
        <w:tc>
          <w:tcPr>
            <w:tcW w:w="667" w:type="pct"/>
            <w:vMerge/>
          </w:tcPr>
          <w:p w:rsidR="00932B23" w:rsidRPr="000D229D" w:rsidRDefault="00932B23" w:rsidP="00DB18B7">
            <w:pPr>
              <w:jc w:val="center"/>
              <w:rPr>
                <w:rFonts w:ascii="Times New Roman" w:hAnsi="Times New Roman" w:cs="Times New Roman"/>
                <w:sz w:val="20"/>
                <w:szCs w:val="20"/>
              </w:rPr>
            </w:pPr>
          </w:p>
        </w:tc>
        <w:tc>
          <w:tcPr>
            <w:tcW w:w="1222" w:type="pct"/>
          </w:tcPr>
          <w:p w:rsidR="00932B23" w:rsidRPr="000D229D" w:rsidRDefault="00932B23" w:rsidP="00DB18B7">
            <w:pPr>
              <w:rPr>
                <w:rFonts w:ascii="Times New Roman" w:hAnsi="Times New Roman" w:cs="Times New Roman"/>
                <w:sz w:val="20"/>
                <w:szCs w:val="20"/>
              </w:rPr>
            </w:pPr>
            <w:r w:rsidRPr="000D229D">
              <w:rPr>
                <w:rFonts w:ascii="Times New Roman" w:hAnsi="Times New Roman" w:cs="Times New Roman"/>
                <w:sz w:val="20"/>
                <w:szCs w:val="20"/>
              </w:rPr>
              <w:t>18-23</w:t>
            </w:r>
          </w:p>
        </w:tc>
        <w:tc>
          <w:tcPr>
            <w:tcW w:w="610"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66 (30.7)</w:t>
            </w:r>
          </w:p>
        </w:tc>
        <w:tc>
          <w:tcPr>
            <w:tcW w:w="659"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35 (30.2)</w:t>
            </w:r>
          </w:p>
        </w:tc>
        <w:tc>
          <w:tcPr>
            <w:tcW w:w="658"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101(30.5)</w:t>
            </w:r>
          </w:p>
        </w:tc>
        <w:tc>
          <w:tcPr>
            <w:tcW w:w="611" w:type="pct"/>
            <w:vMerge/>
          </w:tcPr>
          <w:p w:rsidR="00932B23" w:rsidRPr="000D229D" w:rsidRDefault="00932B23" w:rsidP="00DB18B7">
            <w:pPr>
              <w:jc w:val="center"/>
              <w:rPr>
                <w:rFonts w:ascii="Times New Roman" w:hAnsi="Times New Roman" w:cs="Times New Roman"/>
                <w:sz w:val="20"/>
                <w:szCs w:val="20"/>
              </w:rPr>
            </w:pPr>
          </w:p>
        </w:tc>
        <w:tc>
          <w:tcPr>
            <w:tcW w:w="573" w:type="pct"/>
            <w:vMerge/>
          </w:tcPr>
          <w:p w:rsidR="00932B23" w:rsidRPr="000D229D" w:rsidRDefault="00932B23" w:rsidP="00DB18B7">
            <w:pPr>
              <w:jc w:val="center"/>
              <w:rPr>
                <w:rFonts w:ascii="Times New Roman" w:hAnsi="Times New Roman" w:cs="Times New Roman"/>
                <w:sz w:val="20"/>
                <w:szCs w:val="20"/>
              </w:rPr>
            </w:pPr>
          </w:p>
        </w:tc>
      </w:tr>
      <w:tr w:rsidR="00932B23" w:rsidRPr="000D229D" w:rsidTr="00932B23">
        <w:trPr>
          <w:trHeight w:val="297"/>
        </w:trPr>
        <w:tc>
          <w:tcPr>
            <w:tcW w:w="667" w:type="pct"/>
            <w:vMerge w:val="restart"/>
          </w:tcPr>
          <w:p w:rsidR="00932B23" w:rsidRPr="000D229D" w:rsidRDefault="00932B23" w:rsidP="00DB18B7">
            <w:pPr>
              <w:rPr>
                <w:rFonts w:ascii="Times New Roman" w:hAnsi="Times New Roman" w:cs="Times New Roman"/>
                <w:sz w:val="20"/>
                <w:szCs w:val="20"/>
              </w:rPr>
            </w:pPr>
            <w:r w:rsidRPr="000D229D">
              <w:rPr>
                <w:rFonts w:ascii="Times New Roman" w:hAnsi="Times New Roman" w:cs="Times New Roman"/>
                <w:sz w:val="20"/>
                <w:szCs w:val="20"/>
              </w:rPr>
              <w:t>Childs gender</w:t>
            </w:r>
          </w:p>
        </w:tc>
        <w:tc>
          <w:tcPr>
            <w:tcW w:w="1222" w:type="pct"/>
          </w:tcPr>
          <w:p w:rsidR="00932B23" w:rsidRPr="000D229D" w:rsidRDefault="00932B23" w:rsidP="00DB18B7">
            <w:pPr>
              <w:rPr>
                <w:rFonts w:ascii="Times New Roman" w:hAnsi="Times New Roman" w:cs="Times New Roman"/>
                <w:sz w:val="20"/>
                <w:szCs w:val="20"/>
              </w:rPr>
            </w:pPr>
            <w:r w:rsidRPr="000D229D">
              <w:rPr>
                <w:rFonts w:ascii="Times New Roman" w:hAnsi="Times New Roman" w:cs="Times New Roman"/>
                <w:sz w:val="20"/>
                <w:szCs w:val="20"/>
              </w:rPr>
              <w:t>Males</w:t>
            </w:r>
          </w:p>
        </w:tc>
        <w:tc>
          <w:tcPr>
            <w:tcW w:w="610"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96(44.7)</w:t>
            </w:r>
          </w:p>
        </w:tc>
        <w:tc>
          <w:tcPr>
            <w:tcW w:w="659"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52(44.8)</w:t>
            </w:r>
          </w:p>
        </w:tc>
        <w:tc>
          <w:tcPr>
            <w:tcW w:w="658"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148(44.7)</w:t>
            </w:r>
          </w:p>
        </w:tc>
        <w:tc>
          <w:tcPr>
            <w:tcW w:w="611" w:type="pct"/>
            <w:vMerge w:val="restart"/>
          </w:tcPr>
          <w:p w:rsidR="00932B23" w:rsidRPr="000D229D" w:rsidRDefault="00932B23" w:rsidP="00DB18B7">
            <w:pPr>
              <w:jc w:val="center"/>
              <w:rPr>
                <w:rFonts w:ascii="Times New Roman" w:hAnsi="Times New Roman" w:cs="Times New Roman"/>
                <w:b/>
                <w:sz w:val="20"/>
                <w:szCs w:val="20"/>
              </w:rPr>
            </w:pPr>
          </w:p>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b/>
                <w:sz w:val="20"/>
                <w:szCs w:val="20"/>
              </w:rPr>
              <w:t>0.001*</w:t>
            </w:r>
          </w:p>
        </w:tc>
        <w:tc>
          <w:tcPr>
            <w:tcW w:w="573" w:type="pct"/>
            <w:vMerge w:val="restart"/>
          </w:tcPr>
          <w:p w:rsidR="00932B23" w:rsidRPr="000D229D" w:rsidRDefault="00932B23" w:rsidP="00DB18B7">
            <w:pPr>
              <w:jc w:val="center"/>
              <w:rPr>
                <w:rFonts w:ascii="Times New Roman" w:hAnsi="Times New Roman" w:cs="Times New Roman"/>
                <w:b/>
                <w:sz w:val="20"/>
                <w:szCs w:val="20"/>
              </w:rPr>
            </w:pPr>
          </w:p>
          <w:p w:rsidR="00932B23" w:rsidRPr="000D229D" w:rsidRDefault="00932B23" w:rsidP="00DB18B7">
            <w:pPr>
              <w:jc w:val="center"/>
              <w:rPr>
                <w:rFonts w:ascii="Times New Roman" w:hAnsi="Times New Roman" w:cs="Times New Roman"/>
                <w:b/>
                <w:sz w:val="20"/>
                <w:szCs w:val="20"/>
              </w:rPr>
            </w:pPr>
            <w:r w:rsidRPr="000D229D">
              <w:rPr>
                <w:rFonts w:ascii="Times New Roman" w:hAnsi="Times New Roman" w:cs="Times New Roman"/>
                <w:b/>
                <w:sz w:val="20"/>
                <w:szCs w:val="20"/>
              </w:rPr>
              <w:t>***</w:t>
            </w:r>
          </w:p>
        </w:tc>
      </w:tr>
      <w:tr w:rsidR="00932B23" w:rsidRPr="000D229D" w:rsidTr="00932B23">
        <w:trPr>
          <w:trHeight w:val="251"/>
        </w:trPr>
        <w:tc>
          <w:tcPr>
            <w:tcW w:w="667" w:type="pct"/>
            <w:vMerge/>
          </w:tcPr>
          <w:p w:rsidR="00932B23" w:rsidRPr="000D229D" w:rsidRDefault="00932B23" w:rsidP="00DB18B7">
            <w:pPr>
              <w:jc w:val="center"/>
              <w:rPr>
                <w:rFonts w:ascii="Times New Roman" w:hAnsi="Times New Roman" w:cs="Times New Roman"/>
                <w:sz w:val="20"/>
                <w:szCs w:val="20"/>
              </w:rPr>
            </w:pPr>
          </w:p>
        </w:tc>
        <w:tc>
          <w:tcPr>
            <w:tcW w:w="1222" w:type="pct"/>
          </w:tcPr>
          <w:p w:rsidR="00932B23" w:rsidRPr="000D229D" w:rsidRDefault="00932B23" w:rsidP="00DB18B7">
            <w:pPr>
              <w:rPr>
                <w:rFonts w:ascii="Times New Roman" w:hAnsi="Times New Roman" w:cs="Times New Roman"/>
                <w:sz w:val="20"/>
                <w:szCs w:val="20"/>
              </w:rPr>
            </w:pPr>
            <w:r w:rsidRPr="000D229D">
              <w:rPr>
                <w:rFonts w:ascii="Times New Roman" w:hAnsi="Times New Roman" w:cs="Times New Roman"/>
                <w:sz w:val="20"/>
                <w:szCs w:val="20"/>
              </w:rPr>
              <w:t>Female</w:t>
            </w:r>
          </w:p>
        </w:tc>
        <w:tc>
          <w:tcPr>
            <w:tcW w:w="610"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119(55.3)</w:t>
            </w:r>
          </w:p>
        </w:tc>
        <w:tc>
          <w:tcPr>
            <w:tcW w:w="659"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64(35.0)</w:t>
            </w:r>
          </w:p>
        </w:tc>
        <w:tc>
          <w:tcPr>
            <w:tcW w:w="658"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183(55.3)</w:t>
            </w:r>
          </w:p>
        </w:tc>
        <w:tc>
          <w:tcPr>
            <w:tcW w:w="611" w:type="pct"/>
            <w:vMerge/>
          </w:tcPr>
          <w:p w:rsidR="00932B23" w:rsidRPr="000D229D" w:rsidRDefault="00932B23" w:rsidP="00DB18B7">
            <w:pPr>
              <w:jc w:val="center"/>
              <w:rPr>
                <w:rFonts w:ascii="Times New Roman" w:hAnsi="Times New Roman" w:cs="Times New Roman"/>
                <w:sz w:val="20"/>
                <w:szCs w:val="20"/>
              </w:rPr>
            </w:pPr>
          </w:p>
        </w:tc>
        <w:tc>
          <w:tcPr>
            <w:tcW w:w="573" w:type="pct"/>
            <w:vMerge/>
          </w:tcPr>
          <w:p w:rsidR="00932B23" w:rsidRPr="000D229D" w:rsidRDefault="00932B23" w:rsidP="00DB18B7">
            <w:pPr>
              <w:jc w:val="center"/>
              <w:rPr>
                <w:rFonts w:ascii="Times New Roman" w:hAnsi="Times New Roman" w:cs="Times New Roman"/>
                <w:sz w:val="20"/>
                <w:szCs w:val="20"/>
              </w:rPr>
            </w:pPr>
          </w:p>
        </w:tc>
      </w:tr>
      <w:tr w:rsidR="00932B23" w:rsidRPr="000D229D" w:rsidTr="00932B23">
        <w:trPr>
          <w:trHeight w:val="297"/>
        </w:trPr>
        <w:tc>
          <w:tcPr>
            <w:tcW w:w="667" w:type="pct"/>
            <w:vMerge w:val="restart"/>
          </w:tcPr>
          <w:p w:rsidR="00932B23" w:rsidRPr="000D229D" w:rsidRDefault="00932B23" w:rsidP="00DB18B7">
            <w:pPr>
              <w:jc w:val="both"/>
              <w:rPr>
                <w:rFonts w:ascii="Times New Roman" w:hAnsi="Times New Roman" w:cs="Times New Roman"/>
                <w:sz w:val="20"/>
                <w:szCs w:val="20"/>
              </w:rPr>
            </w:pPr>
            <w:r w:rsidRPr="000D229D">
              <w:rPr>
                <w:rFonts w:ascii="Times New Roman" w:hAnsi="Times New Roman" w:cs="Times New Roman"/>
                <w:sz w:val="20"/>
                <w:szCs w:val="20"/>
              </w:rPr>
              <w:t>Caregivers relationship</w:t>
            </w:r>
          </w:p>
          <w:p w:rsidR="00932B23" w:rsidRPr="000D229D" w:rsidRDefault="00932B23" w:rsidP="00DB18B7">
            <w:pPr>
              <w:jc w:val="both"/>
              <w:rPr>
                <w:rFonts w:ascii="Times New Roman" w:hAnsi="Times New Roman" w:cs="Times New Roman"/>
                <w:sz w:val="20"/>
                <w:szCs w:val="20"/>
              </w:rPr>
            </w:pPr>
            <w:r w:rsidRPr="000D229D">
              <w:rPr>
                <w:rFonts w:ascii="Times New Roman" w:hAnsi="Times New Roman" w:cs="Times New Roman"/>
                <w:sz w:val="20"/>
                <w:szCs w:val="20"/>
              </w:rPr>
              <w:t>to child</w:t>
            </w:r>
          </w:p>
        </w:tc>
        <w:tc>
          <w:tcPr>
            <w:tcW w:w="1222" w:type="pct"/>
          </w:tcPr>
          <w:p w:rsidR="00932B23" w:rsidRPr="000D229D" w:rsidRDefault="00932B23" w:rsidP="00DB18B7">
            <w:pPr>
              <w:rPr>
                <w:rFonts w:ascii="Times New Roman" w:hAnsi="Times New Roman" w:cs="Times New Roman"/>
                <w:sz w:val="20"/>
                <w:szCs w:val="20"/>
              </w:rPr>
            </w:pPr>
            <w:r w:rsidRPr="000D229D">
              <w:rPr>
                <w:rFonts w:ascii="Times New Roman" w:hAnsi="Times New Roman" w:cs="Times New Roman"/>
                <w:sz w:val="20"/>
                <w:szCs w:val="20"/>
              </w:rPr>
              <w:t>Mother (female parent)</w:t>
            </w:r>
          </w:p>
        </w:tc>
        <w:tc>
          <w:tcPr>
            <w:tcW w:w="610"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199(92.6)</w:t>
            </w:r>
          </w:p>
        </w:tc>
        <w:tc>
          <w:tcPr>
            <w:tcW w:w="659"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106(91.4)</w:t>
            </w:r>
          </w:p>
        </w:tc>
        <w:tc>
          <w:tcPr>
            <w:tcW w:w="658"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305(92.1)</w:t>
            </w:r>
          </w:p>
        </w:tc>
        <w:tc>
          <w:tcPr>
            <w:tcW w:w="611" w:type="pct"/>
            <w:vMerge w:val="restart"/>
          </w:tcPr>
          <w:p w:rsidR="00932B23" w:rsidRPr="000D229D" w:rsidRDefault="00932B23" w:rsidP="00DB18B7">
            <w:pPr>
              <w:jc w:val="center"/>
              <w:rPr>
                <w:rFonts w:ascii="Times New Roman" w:hAnsi="Times New Roman" w:cs="Times New Roman"/>
                <w:sz w:val="20"/>
                <w:szCs w:val="20"/>
              </w:rPr>
            </w:pPr>
          </w:p>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w:t>
            </w:r>
          </w:p>
        </w:tc>
        <w:tc>
          <w:tcPr>
            <w:tcW w:w="573" w:type="pct"/>
            <w:vMerge w:val="restart"/>
          </w:tcPr>
          <w:p w:rsidR="00932B23" w:rsidRPr="000D229D" w:rsidRDefault="00932B23" w:rsidP="00DB18B7">
            <w:pPr>
              <w:jc w:val="center"/>
              <w:rPr>
                <w:rFonts w:ascii="Times New Roman" w:hAnsi="Times New Roman" w:cs="Times New Roman"/>
                <w:sz w:val="20"/>
                <w:szCs w:val="20"/>
              </w:rPr>
            </w:pPr>
          </w:p>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w:t>
            </w:r>
          </w:p>
        </w:tc>
      </w:tr>
      <w:tr w:rsidR="00932B23" w:rsidRPr="000D229D" w:rsidTr="00932B23">
        <w:trPr>
          <w:trHeight w:val="297"/>
        </w:trPr>
        <w:tc>
          <w:tcPr>
            <w:tcW w:w="667" w:type="pct"/>
            <w:vMerge/>
          </w:tcPr>
          <w:p w:rsidR="00932B23" w:rsidRPr="000D229D" w:rsidRDefault="00932B23" w:rsidP="00DB18B7">
            <w:pPr>
              <w:jc w:val="center"/>
              <w:rPr>
                <w:rFonts w:ascii="Times New Roman" w:hAnsi="Times New Roman" w:cs="Times New Roman"/>
                <w:sz w:val="20"/>
                <w:szCs w:val="20"/>
              </w:rPr>
            </w:pPr>
          </w:p>
        </w:tc>
        <w:tc>
          <w:tcPr>
            <w:tcW w:w="1222" w:type="pct"/>
          </w:tcPr>
          <w:p w:rsidR="00932B23" w:rsidRPr="000D229D" w:rsidRDefault="00932B23" w:rsidP="00DB18B7">
            <w:pPr>
              <w:jc w:val="both"/>
              <w:rPr>
                <w:rFonts w:ascii="Times New Roman" w:hAnsi="Times New Roman" w:cs="Times New Roman"/>
                <w:sz w:val="20"/>
                <w:szCs w:val="20"/>
              </w:rPr>
            </w:pPr>
            <w:r w:rsidRPr="000D229D">
              <w:rPr>
                <w:rFonts w:ascii="Times New Roman" w:hAnsi="Times New Roman" w:cs="Times New Roman"/>
                <w:sz w:val="20"/>
                <w:szCs w:val="20"/>
              </w:rPr>
              <w:t>Father (male parent)</w:t>
            </w:r>
          </w:p>
        </w:tc>
        <w:tc>
          <w:tcPr>
            <w:tcW w:w="610"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4(1.9)</w:t>
            </w:r>
          </w:p>
        </w:tc>
        <w:tc>
          <w:tcPr>
            <w:tcW w:w="659"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5(5.3)</w:t>
            </w:r>
          </w:p>
        </w:tc>
        <w:tc>
          <w:tcPr>
            <w:tcW w:w="658"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9(2.7)</w:t>
            </w:r>
          </w:p>
        </w:tc>
        <w:tc>
          <w:tcPr>
            <w:tcW w:w="611" w:type="pct"/>
            <w:vMerge/>
          </w:tcPr>
          <w:p w:rsidR="00932B23" w:rsidRPr="000D229D" w:rsidRDefault="00932B23" w:rsidP="00DB18B7">
            <w:pPr>
              <w:jc w:val="center"/>
              <w:rPr>
                <w:rFonts w:ascii="Times New Roman" w:hAnsi="Times New Roman" w:cs="Times New Roman"/>
                <w:sz w:val="20"/>
                <w:szCs w:val="20"/>
              </w:rPr>
            </w:pPr>
          </w:p>
        </w:tc>
        <w:tc>
          <w:tcPr>
            <w:tcW w:w="573" w:type="pct"/>
            <w:vMerge/>
          </w:tcPr>
          <w:p w:rsidR="00932B23" w:rsidRPr="000D229D" w:rsidRDefault="00932B23" w:rsidP="00DB18B7">
            <w:pPr>
              <w:jc w:val="center"/>
              <w:rPr>
                <w:rFonts w:ascii="Times New Roman" w:hAnsi="Times New Roman" w:cs="Times New Roman"/>
                <w:sz w:val="20"/>
                <w:szCs w:val="20"/>
              </w:rPr>
            </w:pPr>
          </w:p>
        </w:tc>
      </w:tr>
      <w:tr w:rsidR="00932B23" w:rsidRPr="000D229D" w:rsidTr="00932B23">
        <w:trPr>
          <w:trHeight w:val="297"/>
        </w:trPr>
        <w:tc>
          <w:tcPr>
            <w:tcW w:w="667" w:type="pct"/>
            <w:vMerge/>
          </w:tcPr>
          <w:p w:rsidR="00932B23" w:rsidRPr="000D229D" w:rsidRDefault="00932B23" w:rsidP="00DB18B7">
            <w:pPr>
              <w:jc w:val="center"/>
              <w:rPr>
                <w:rFonts w:ascii="Times New Roman" w:hAnsi="Times New Roman" w:cs="Times New Roman"/>
                <w:sz w:val="20"/>
                <w:szCs w:val="20"/>
              </w:rPr>
            </w:pPr>
          </w:p>
        </w:tc>
        <w:tc>
          <w:tcPr>
            <w:tcW w:w="1222" w:type="pct"/>
          </w:tcPr>
          <w:p w:rsidR="00932B23" w:rsidRPr="000D229D" w:rsidRDefault="00932B23" w:rsidP="00DB18B7">
            <w:pPr>
              <w:jc w:val="both"/>
              <w:rPr>
                <w:rFonts w:ascii="Times New Roman" w:hAnsi="Times New Roman" w:cs="Times New Roman"/>
                <w:sz w:val="20"/>
                <w:szCs w:val="20"/>
              </w:rPr>
            </w:pPr>
            <w:r w:rsidRPr="000D229D">
              <w:rPr>
                <w:rFonts w:ascii="Times New Roman" w:hAnsi="Times New Roman" w:cs="Times New Roman"/>
                <w:sz w:val="20"/>
                <w:szCs w:val="20"/>
              </w:rPr>
              <w:t>Grandmother</w:t>
            </w:r>
          </w:p>
        </w:tc>
        <w:tc>
          <w:tcPr>
            <w:tcW w:w="610"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5(2.3)</w:t>
            </w:r>
          </w:p>
        </w:tc>
        <w:tc>
          <w:tcPr>
            <w:tcW w:w="659"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3(2.6)</w:t>
            </w:r>
          </w:p>
        </w:tc>
        <w:tc>
          <w:tcPr>
            <w:tcW w:w="658"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8(2.4)</w:t>
            </w:r>
          </w:p>
        </w:tc>
        <w:tc>
          <w:tcPr>
            <w:tcW w:w="611" w:type="pct"/>
            <w:vMerge/>
          </w:tcPr>
          <w:p w:rsidR="00932B23" w:rsidRPr="000D229D" w:rsidRDefault="00932B23" w:rsidP="00DB18B7">
            <w:pPr>
              <w:jc w:val="center"/>
              <w:rPr>
                <w:rFonts w:ascii="Times New Roman" w:hAnsi="Times New Roman" w:cs="Times New Roman"/>
                <w:sz w:val="20"/>
                <w:szCs w:val="20"/>
              </w:rPr>
            </w:pPr>
          </w:p>
        </w:tc>
        <w:tc>
          <w:tcPr>
            <w:tcW w:w="573" w:type="pct"/>
            <w:vMerge/>
          </w:tcPr>
          <w:p w:rsidR="00932B23" w:rsidRPr="000D229D" w:rsidRDefault="00932B23" w:rsidP="00DB18B7">
            <w:pPr>
              <w:jc w:val="center"/>
              <w:rPr>
                <w:rFonts w:ascii="Times New Roman" w:hAnsi="Times New Roman" w:cs="Times New Roman"/>
                <w:sz w:val="20"/>
                <w:szCs w:val="20"/>
              </w:rPr>
            </w:pPr>
          </w:p>
        </w:tc>
      </w:tr>
      <w:tr w:rsidR="00932B23" w:rsidRPr="000D229D" w:rsidTr="00932B23">
        <w:trPr>
          <w:trHeight w:val="251"/>
        </w:trPr>
        <w:tc>
          <w:tcPr>
            <w:tcW w:w="667" w:type="pct"/>
            <w:vMerge/>
          </w:tcPr>
          <w:p w:rsidR="00932B23" w:rsidRPr="000D229D" w:rsidRDefault="00932B23" w:rsidP="00DB18B7">
            <w:pPr>
              <w:jc w:val="center"/>
              <w:rPr>
                <w:rFonts w:ascii="Times New Roman" w:hAnsi="Times New Roman" w:cs="Times New Roman"/>
                <w:sz w:val="20"/>
                <w:szCs w:val="20"/>
              </w:rPr>
            </w:pPr>
          </w:p>
        </w:tc>
        <w:tc>
          <w:tcPr>
            <w:tcW w:w="1222" w:type="pct"/>
          </w:tcPr>
          <w:p w:rsidR="00932B23" w:rsidRPr="000D229D" w:rsidRDefault="00932B23" w:rsidP="00DB18B7">
            <w:pPr>
              <w:jc w:val="both"/>
              <w:rPr>
                <w:rFonts w:ascii="Times New Roman" w:hAnsi="Times New Roman" w:cs="Times New Roman"/>
                <w:sz w:val="20"/>
                <w:szCs w:val="20"/>
              </w:rPr>
            </w:pPr>
            <w:r w:rsidRPr="000D229D">
              <w:rPr>
                <w:rFonts w:ascii="Times New Roman" w:hAnsi="Times New Roman" w:cs="Times New Roman"/>
                <w:sz w:val="20"/>
                <w:szCs w:val="20"/>
              </w:rPr>
              <w:t>Other</w:t>
            </w:r>
          </w:p>
        </w:tc>
        <w:tc>
          <w:tcPr>
            <w:tcW w:w="610"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7(3.3)</w:t>
            </w:r>
          </w:p>
        </w:tc>
        <w:tc>
          <w:tcPr>
            <w:tcW w:w="659"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2(1.7)</w:t>
            </w:r>
          </w:p>
        </w:tc>
        <w:tc>
          <w:tcPr>
            <w:tcW w:w="658"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9(2.7)</w:t>
            </w:r>
          </w:p>
        </w:tc>
        <w:tc>
          <w:tcPr>
            <w:tcW w:w="611" w:type="pct"/>
            <w:vMerge/>
          </w:tcPr>
          <w:p w:rsidR="00932B23" w:rsidRPr="000D229D" w:rsidRDefault="00932B23" w:rsidP="00DB18B7">
            <w:pPr>
              <w:jc w:val="center"/>
              <w:rPr>
                <w:rFonts w:ascii="Times New Roman" w:hAnsi="Times New Roman" w:cs="Times New Roman"/>
                <w:sz w:val="20"/>
                <w:szCs w:val="20"/>
              </w:rPr>
            </w:pPr>
          </w:p>
        </w:tc>
        <w:tc>
          <w:tcPr>
            <w:tcW w:w="573" w:type="pct"/>
            <w:vMerge/>
          </w:tcPr>
          <w:p w:rsidR="00932B23" w:rsidRPr="000D229D" w:rsidRDefault="00932B23" w:rsidP="00DB18B7">
            <w:pPr>
              <w:jc w:val="center"/>
              <w:rPr>
                <w:rFonts w:ascii="Times New Roman" w:hAnsi="Times New Roman" w:cs="Times New Roman"/>
                <w:sz w:val="20"/>
                <w:szCs w:val="20"/>
              </w:rPr>
            </w:pPr>
          </w:p>
        </w:tc>
      </w:tr>
      <w:tr w:rsidR="00932B23" w:rsidRPr="000D229D" w:rsidTr="00932B23">
        <w:trPr>
          <w:trHeight w:val="297"/>
        </w:trPr>
        <w:tc>
          <w:tcPr>
            <w:tcW w:w="667" w:type="pct"/>
            <w:vMerge w:val="restart"/>
          </w:tcPr>
          <w:p w:rsidR="00932B23" w:rsidRPr="000D229D" w:rsidRDefault="00932B23" w:rsidP="00DB18B7">
            <w:pPr>
              <w:rPr>
                <w:rFonts w:ascii="Times New Roman" w:hAnsi="Times New Roman" w:cs="Times New Roman"/>
                <w:sz w:val="20"/>
                <w:szCs w:val="20"/>
              </w:rPr>
            </w:pPr>
            <w:r w:rsidRPr="000D229D">
              <w:rPr>
                <w:rFonts w:ascii="Times New Roman" w:hAnsi="Times New Roman" w:cs="Times New Roman"/>
                <w:sz w:val="20"/>
                <w:szCs w:val="20"/>
              </w:rPr>
              <w:t>Caregivers education</w:t>
            </w:r>
          </w:p>
        </w:tc>
        <w:tc>
          <w:tcPr>
            <w:tcW w:w="1222" w:type="pct"/>
          </w:tcPr>
          <w:p w:rsidR="00932B23" w:rsidRPr="000D229D" w:rsidRDefault="00932B23" w:rsidP="00DB18B7">
            <w:pPr>
              <w:rPr>
                <w:rFonts w:ascii="Times New Roman" w:hAnsi="Times New Roman" w:cs="Times New Roman"/>
                <w:sz w:val="20"/>
                <w:szCs w:val="20"/>
              </w:rPr>
            </w:pPr>
            <w:r w:rsidRPr="000D229D">
              <w:rPr>
                <w:rFonts w:ascii="Times New Roman" w:hAnsi="Times New Roman" w:cs="Times New Roman"/>
                <w:sz w:val="20"/>
                <w:szCs w:val="20"/>
              </w:rPr>
              <w:t xml:space="preserve">No formal education </w:t>
            </w:r>
          </w:p>
        </w:tc>
        <w:tc>
          <w:tcPr>
            <w:tcW w:w="610"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1 (0.5)</w:t>
            </w:r>
          </w:p>
        </w:tc>
        <w:tc>
          <w:tcPr>
            <w:tcW w:w="659"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6(5.2)</w:t>
            </w:r>
          </w:p>
        </w:tc>
        <w:tc>
          <w:tcPr>
            <w:tcW w:w="658"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7(2.1)</w:t>
            </w:r>
          </w:p>
        </w:tc>
        <w:tc>
          <w:tcPr>
            <w:tcW w:w="611" w:type="pct"/>
            <w:vMerge w:val="restart"/>
          </w:tcPr>
          <w:p w:rsidR="00932B23" w:rsidRPr="000D229D" w:rsidRDefault="00932B23" w:rsidP="00DB18B7">
            <w:pPr>
              <w:jc w:val="center"/>
              <w:rPr>
                <w:rFonts w:ascii="Times New Roman" w:hAnsi="Times New Roman" w:cs="Times New Roman"/>
                <w:sz w:val="20"/>
                <w:szCs w:val="20"/>
              </w:rPr>
            </w:pPr>
          </w:p>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w:t>
            </w:r>
          </w:p>
        </w:tc>
        <w:tc>
          <w:tcPr>
            <w:tcW w:w="573" w:type="pct"/>
            <w:vMerge w:val="restart"/>
          </w:tcPr>
          <w:p w:rsidR="00932B23" w:rsidRPr="000D229D" w:rsidRDefault="00932B23" w:rsidP="00DB18B7">
            <w:pPr>
              <w:jc w:val="center"/>
              <w:rPr>
                <w:rFonts w:ascii="Times New Roman" w:hAnsi="Times New Roman" w:cs="Times New Roman"/>
                <w:sz w:val="20"/>
                <w:szCs w:val="20"/>
              </w:rPr>
            </w:pPr>
          </w:p>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w:t>
            </w:r>
          </w:p>
        </w:tc>
      </w:tr>
      <w:tr w:rsidR="00932B23" w:rsidRPr="000D229D" w:rsidTr="00932B23">
        <w:trPr>
          <w:trHeight w:val="297"/>
        </w:trPr>
        <w:tc>
          <w:tcPr>
            <w:tcW w:w="667" w:type="pct"/>
            <w:vMerge/>
          </w:tcPr>
          <w:p w:rsidR="00932B23" w:rsidRPr="000D229D" w:rsidRDefault="00932B23" w:rsidP="00DB18B7">
            <w:pPr>
              <w:jc w:val="center"/>
              <w:rPr>
                <w:rFonts w:ascii="Times New Roman" w:hAnsi="Times New Roman" w:cs="Times New Roman"/>
                <w:sz w:val="20"/>
                <w:szCs w:val="20"/>
              </w:rPr>
            </w:pPr>
          </w:p>
        </w:tc>
        <w:tc>
          <w:tcPr>
            <w:tcW w:w="1222" w:type="pct"/>
          </w:tcPr>
          <w:p w:rsidR="00932B23" w:rsidRPr="000D229D" w:rsidRDefault="00932B23" w:rsidP="00DB18B7">
            <w:pPr>
              <w:jc w:val="both"/>
              <w:rPr>
                <w:rFonts w:ascii="Times New Roman" w:hAnsi="Times New Roman" w:cs="Times New Roman"/>
                <w:sz w:val="20"/>
                <w:szCs w:val="20"/>
              </w:rPr>
            </w:pPr>
            <w:r w:rsidRPr="000D229D">
              <w:rPr>
                <w:rFonts w:ascii="Times New Roman" w:hAnsi="Times New Roman" w:cs="Times New Roman"/>
                <w:sz w:val="20"/>
                <w:szCs w:val="20"/>
              </w:rPr>
              <w:t>Primary</w:t>
            </w:r>
          </w:p>
        </w:tc>
        <w:tc>
          <w:tcPr>
            <w:tcW w:w="610"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84 (39.1)</w:t>
            </w:r>
          </w:p>
        </w:tc>
        <w:tc>
          <w:tcPr>
            <w:tcW w:w="659"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71(61.2)</w:t>
            </w:r>
          </w:p>
        </w:tc>
        <w:tc>
          <w:tcPr>
            <w:tcW w:w="658"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155(46.8)</w:t>
            </w:r>
          </w:p>
        </w:tc>
        <w:tc>
          <w:tcPr>
            <w:tcW w:w="611" w:type="pct"/>
            <w:vMerge/>
          </w:tcPr>
          <w:p w:rsidR="00932B23" w:rsidRPr="000D229D" w:rsidRDefault="00932B23" w:rsidP="00DB18B7">
            <w:pPr>
              <w:jc w:val="center"/>
              <w:rPr>
                <w:rFonts w:ascii="Times New Roman" w:hAnsi="Times New Roman" w:cs="Times New Roman"/>
                <w:sz w:val="20"/>
                <w:szCs w:val="20"/>
              </w:rPr>
            </w:pPr>
          </w:p>
        </w:tc>
        <w:tc>
          <w:tcPr>
            <w:tcW w:w="573" w:type="pct"/>
            <w:vMerge/>
          </w:tcPr>
          <w:p w:rsidR="00932B23" w:rsidRPr="000D229D" w:rsidRDefault="00932B23" w:rsidP="00DB18B7">
            <w:pPr>
              <w:jc w:val="center"/>
              <w:rPr>
                <w:rFonts w:ascii="Times New Roman" w:hAnsi="Times New Roman" w:cs="Times New Roman"/>
                <w:sz w:val="20"/>
                <w:szCs w:val="20"/>
              </w:rPr>
            </w:pPr>
          </w:p>
        </w:tc>
      </w:tr>
      <w:tr w:rsidR="00932B23" w:rsidRPr="000D229D" w:rsidTr="00932B23">
        <w:trPr>
          <w:trHeight w:val="297"/>
        </w:trPr>
        <w:tc>
          <w:tcPr>
            <w:tcW w:w="667" w:type="pct"/>
            <w:vMerge/>
          </w:tcPr>
          <w:p w:rsidR="00932B23" w:rsidRPr="000D229D" w:rsidRDefault="00932B23" w:rsidP="00DB18B7">
            <w:pPr>
              <w:jc w:val="center"/>
              <w:rPr>
                <w:rFonts w:ascii="Times New Roman" w:hAnsi="Times New Roman" w:cs="Times New Roman"/>
                <w:sz w:val="20"/>
                <w:szCs w:val="20"/>
              </w:rPr>
            </w:pPr>
          </w:p>
        </w:tc>
        <w:tc>
          <w:tcPr>
            <w:tcW w:w="1222" w:type="pct"/>
          </w:tcPr>
          <w:p w:rsidR="00932B23" w:rsidRPr="000D229D" w:rsidRDefault="00932B23" w:rsidP="00DB18B7">
            <w:pPr>
              <w:jc w:val="both"/>
              <w:rPr>
                <w:rFonts w:ascii="Times New Roman" w:hAnsi="Times New Roman" w:cs="Times New Roman"/>
                <w:sz w:val="20"/>
                <w:szCs w:val="20"/>
              </w:rPr>
            </w:pPr>
            <w:r w:rsidRPr="000D229D">
              <w:rPr>
                <w:rFonts w:ascii="Times New Roman" w:hAnsi="Times New Roman" w:cs="Times New Roman"/>
                <w:sz w:val="20"/>
                <w:szCs w:val="20"/>
              </w:rPr>
              <w:t>Secondary</w:t>
            </w:r>
          </w:p>
        </w:tc>
        <w:tc>
          <w:tcPr>
            <w:tcW w:w="610"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104 (48.4)</w:t>
            </w:r>
          </w:p>
        </w:tc>
        <w:tc>
          <w:tcPr>
            <w:tcW w:w="659"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33(28.4)</w:t>
            </w:r>
          </w:p>
        </w:tc>
        <w:tc>
          <w:tcPr>
            <w:tcW w:w="658"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137(41.4)</w:t>
            </w:r>
          </w:p>
        </w:tc>
        <w:tc>
          <w:tcPr>
            <w:tcW w:w="611" w:type="pct"/>
            <w:vMerge/>
          </w:tcPr>
          <w:p w:rsidR="00932B23" w:rsidRPr="000D229D" w:rsidRDefault="00932B23" w:rsidP="00DB18B7">
            <w:pPr>
              <w:jc w:val="center"/>
              <w:rPr>
                <w:rFonts w:ascii="Times New Roman" w:hAnsi="Times New Roman" w:cs="Times New Roman"/>
                <w:sz w:val="20"/>
                <w:szCs w:val="20"/>
              </w:rPr>
            </w:pPr>
          </w:p>
        </w:tc>
        <w:tc>
          <w:tcPr>
            <w:tcW w:w="573" w:type="pct"/>
            <w:vMerge/>
          </w:tcPr>
          <w:p w:rsidR="00932B23" w:rsidRPr="000D229D" w:rsidRDefault="00932B23" w:rsidP="00DB18B7">
            <w:pPr>
              <w:jc w:val="center"/>
              <w:rPr>
                <w:rFonts w:ascii="Times New Roman" w:hAnsi="Times New Roman" w:cs="Times New Roman"/>
                <w:sz w:val="20"/>
                <w:szCs w:val="20"/>
              </w:rPr>
            </w:pPr>
          </w:p>
        </w:tc>
      </w:tr>
      <w:tr w:rsidR="00932B23" w:rsidRPr="000D229D" w:rsidTr="00932B23">
        <w:trPr>
          <w:trHeight w:val="297"/>
        </w:trPr>
        <w:tc>
          <w:tcPr>
            <w:tcW w:w="667" w:type="pct"/>
            <w:vMerge/>
          </w:tcPr>
          <w:p w:rsidR="00932B23" w:rsidRPr="000D229D" w:rsidRDefault="00932B23" w:rsidP="00DB18B7">
            <w:pPr>
              <w:jc w:val="center"/>
              <w:rPr>
                <w:rFonts w:ascii="Times New Roman" w:hAnsi="Times New Roman" w:cs="Times New Roman"/>
                <w:sz w:val="20"/>
                <w:szCs w:val="20"/>
              </w:rPr>
            </w:pPr>
          </w:p>
        </w:tc>
        <w:tc>
          <w:tcPr>
            <w:tcW w:w="1222" w:type="pct"/>
          </w:tcPr>
          <w:p w:rsidR="00932B23" w:rsidRPr="000D229D" w:rsidRDefault="00932B23" w:rsidP="00DB18B7">
            <w:pPr>
              <w:jc w:val="both"/>
              <w:rPr>
                <w:rFonts w:ascii="Times New Roman" w:hAnsi="Times New Roman" w:cs="Times New Roman"/>
                <w:sz w:val="20"/>
                <w:szCs w:val="20"/>
              </w:rPr>
            </w:pPr>
            <w:r w:rsidRPr="000D229D">
              <w:rPr>
                <w:rFonts w:ascii="Times New Roman" w:hAnsi="Times New Roman" w:cs="Times New Roman"/>
                <w:sz w:val="20"/>
                <w:szCs w:val="20"/>
              </w:rPr>
              <w:t>College</w:t>
            </w:r>
          </w:p>
        </w:tc>
        <w:tc>
          <w:tcPr>
            <w:tcW w:w="610"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26 (12.1)</w:t>
            </w:r>
          </w:p>
        </w:tc>
        <w:tc>
          <w:tcPr>
            <w:tcW w:w="659"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6(5.2)</w:t>
            </w:r>
          </w:p>
        </w:tc>
        <w:tc>
          <w:tcPr>
            <w:tcW w:w="658" w:type="pct"/>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sz w:val="20"/>
                <w:szCs w:val="20"/>
              </w:rPr>
              <w:t>32(9.7)</w:t>
            </w:r>
          </w:p>
        </w:tc>
        <w:tc>
          <w:tcPr>
            <w:tcW w:w="611" w:type="pct"/>
            <w:vMerge/>
          </w:tcPr>
          <w:p w:rsidR="00932B23" w:rsidRPr="000D229D" w:rsidRDefault="00932B23" w:rsidP="00DB18B7">
            <w:pPr>
              <w:jc w:val="center"/>
              <w:rPr>
                <w:rFonts w:ascii="Times New Roman" w:hAnsi="Times New Roman" w:cs="Times New Roman"/>
                <w:sz w:val="20"/>
                <w:szCs w:val="20"/>
              </w:rPr>
            </w:pPr>
          </w:p>
        </w:tc>
        <w:tc>
          <w:tcPr>
            <w:tcW w:w="573" w:type="pct"/>
            <w:vMerge/>
          </w:tcPr>
          <w:p w:rsidR="00932B23" w:rsidRPr="000D229D" w:rsidRDefault="00932B23" w:rsidP="00DB18B7">
            <w:pPr>
              <w:jc w:val="center"/>
              <w:rPr>
                <w:rFonts w:ascii="Times New Roman" w:hAnsi="Times New Roman" w:cs="Times New Roman"/>
                <w:sz w:val="20"/>
                <w:szCs w:val="20"/>
              </w:rPr>
            </w:pPr>
          </w:p>
        </w:tc>
      </w:tr>
      <w:tr w:rsidR="00932B23" w:rsidRPr="000D229D" w:rsidTr="00932B23">
        <w:trPr>
          <w:trHeight w:val="297"/>
        </w:trPr>
        <w:tc>
          <w:tcPr>
            <w:tcW w:w="667" w:type="pct"/>
            <w:vMerge w:val="restart"/>
            <w:vAlign w:val="center"/>
          </w:tcPr>
          <w:p w:rsidR="00932B23" w:rsidRPr="000D229D" w:rsidRDefault="00932B23" w:rsidP="00DB18B7">
            <w:pPr>
              <w:autoSpaceDE w:val="0"/>
              <w:autoSpaceDN w:val="0"/>
              <w:adjustRightInd w:val="0"/>
              <w:ind w:left="60" w:right="60"/>
              <w:rPr>
                <w:rFonts w:ascii="Times New Roman" w:hAnsi="Times New Roman" w:cs="Times New Roman"/>
                <w:color w:val="000000"/>
                <w:sz w:val="20"/>
                <w:szCs w:val="20"/>
              </w:rPr>
            </w:pPr>
            <w:r w:rsidRPr="000D229D">
              <w:rPr>
                <w:rFonts w:ascii="Times New Roman" w:hAnsi="Times New Roman" w:cs="Times New Roman"/>
                <w:color w:val="000000"/>
                <w:sz w:val="20"/>
                <w:szCs w:val="20"/>
              </w:rPr>
              <w:t>Number of household members</w:t>
            </w:r>
          </w:p>
        </w:tc>
        <w:tc>
          <w:tcPr>
            <w:tcW w:w="1222" w:type="pct"/>
            <w:vAlign w:val="center"/>
          </w:tcPr>
          <w:p w:rsidR="00932B23" w:rsidRPr="000D229D" w:rsidRDefault="00932B23" w:rsidP="00DB18B7">
            <w:pPr>
              <w:autoSpaceDE w:val="0"/>
              <w:autoSpaceDN w:val="0"/>
              <w:adjustRightInd w:val="0"/>
              <w:ind w:left="60" w:right="60"/>
              <w:jc w:val="center"/>
              <w:rPr>
                <w:rFonts w:ascii="Times New Roman" w:hAnsi="Times New Roman" w:cs="Times New Roman"/>
                <w:color w:val="000000"/>
                <w:sz w:val="20"/>
                <w:szCs w:val="20"/>
              </w:rPr>
            </w:pPr>
            <w:r w:rsidRPr="000D229D">
              <w:rPr>
                <w:rFonts w:ascii="Times New Roman" w:hAnsi="Times New Roman" w:cs="Times New Roman"/>
                <w:color w:val="000000"/>
                <w:sz w:val="20"/>
                <w:szCs w:val="20"/>
              </w:rPr>
              <w:t>2</w:t>
            </w:r>
          </w:p>
        </w:tc>
        <w:tc>
          <w:tcPr>
            <w:tcW w:w="610" w:type="pct"/>
            <w:vAlign w:val="center"/>
          </w:tcPr>
          <w:p w:rsidR="00932B23" w:rsidRPr="000D229D" w:rsidRDefault="00932B23" w:rsidP="00DB18B7">
            <w:pPr>
              <w:autoSpaceDE w:val="0"/>
              <w:autoSpaceDN w:val="0"/>
              <w:adjustRightInd w:val="0"/>
              <w:ind w:left="60" w:right="60"/>
              <w:jc w:val="center"/>
              <w:rPr>
                <w:rFonts w:ascii="Times New Roman" w:hAnsi="Times New Roman" w:cs="Times New Roman"/>
                <w:color w:val="000000"/>
                <w:sz w:val="20"/>
                <w:szCs w:val="20"/>
              </w:rPr>
            </w:pPr>
            <w:r w:rsidRPr="000D229D">
              <w:rPr>
                <w:rFonts w:ascii="Times New Roman" w:hAnsi="Times New Roman" w:cs="Times New Roman"/>
                <w:color w:val="000000"/>
                <w:sz w:val="20"/>
                <w:szCs w:val="20"/>
              </w:rPr>
              <w:t>2(0.9)</w:t>
            </w:r>
          </w:p>
        </w:tc>
        <w:tc>
          <w:tcPr>
            <w:tcW w:w="659" w:type="pct"/>
            <w:vAlign w:val="center"/>
          </w:tcPr>
          <w:p w:rsidR="00932B23" w:rsidRPr="000D229D" w:rsidRDefault="00932B23" w:rsidP="00DB18B7">
            <w:pPr>
              <w:autoSpaceDE w:val="0"/>
              <w:autoSpaceDN w:val="0"/>
              <w:adjustRightInd w:val="0"/>
              <w:ind w:left="60" w:right="60"/>
              <w:jc w:val="center"/>
              <w:rPr>
                <w:rFonts w:ascii="Times New Roman" w:hAnsi="Times New Roman" w:cs="Times New Roman"/>
                <w:color w:val="000000"/>
                <w:sz w:val="20"/>
                <w:szCs w:val="20"/>
              </w:rPr>
            </w:pPr>
            <w:r w:rsidRPr="000D229D">
              <w:rPr>
                <w:rFonts w:ascii="Times New Roman" w:hAnsi="Times New Roman" w:cs="Times New Roman"/>
                <w:color w:val="000000"/>
                <w:sz w:val="20"/>
                <w:szCs w:val="20"/>
              </w:rPr>
              <w:t>2(1.7)</w:t>
            </w:r>
          </w:p>
        </w:tc>
        <w:tc>
          <w:tcPr>
            <w:tcW w:w="658" w:type="pct"/>
            <w:vAlign w:val="center"/>
          </w:tcPr>
          <w:p w:rsidR="00932B23" w:rsidRPr="000D229D" w:rsidRDefault="00932B23" w:rsidP="00DB18B7">
            <w:pPr>
              <w:autoSpaceDE w:val="0"/>
              <w:autoSpaceDN w:val="0"/>
              <w:adjustRightInd w:val="0"/>
              <w:ind w:left="60" w:right="60"/>
              <w:jc w:val="center"/>
              <w:rPr>
                <w:rFonts w:ascii="Times New Roman" w:hAnsi="Times New Roman" w:cs="Times New Roman"/>
                <w:color w:val="000000"/>
                <w:sz w:val="20"/>
                <w:szCs w:val="20"/>
              </w:rPr>
            </w:pPr>
            <w:r w:rsidRPr="000D229D">
              <w:rPr>
                <w:rFonts w:ascii="Times New Roman" w:hAnsi="Times New Roman" w:cs="Times New Roman"/>
                <w:color w:val="000000"/>
                <w:sz w:val="20"/>
                <w:szCs w:val="20"/>
              </w:rPr>
              <w:t>4(1.2)</w:t>
            </w:r>
          </w:p>
        </w:tc>
        <w:tc>
          <w:tcPr>
            <w:tcW w:w="611" w:type="pct"/>
            <w:vMerge w:val="restart"/>
            <w:vAlign w:val="center"/>
          </w:tcPr>
          <w:p w:rsidR="00932B23" w:rsidRPr="000D229D" w:rsidRDefault="00932B23" w:rsidP="00DB18B7">
            <w:pPr>
              <w:autoSpaceDE w:val="0"/>
              <w:autoSpaceDN w:val="0"/>
              <w:adjustRightInd w:val="0"/>
              <w:ind w:left="60" w:right="60"/>
              <w:jc w:val="center"/>
              <w:rPr>
                <w:rFonts w:ascii="Times New Roman" w:hAnsi="Times New Roman" w:cs="Times New Roman"/>
                <w:color w:val="000000"/>
                <w:sz w:val="20"/>
                <w:szCs w:val="20"/>
              </w:rPr>
            </w:pPr>
            <w:r w:rsidRPr="000D229D">
              <w:rPr>
                <w:rFonts w:ascii="Times New Roman" w:hAnsi="Times New Roman" w:cs="Times New Roman"/>
                <w:color w:val="000000"/>
                <w:sz w:val="20"/>
                <w:szCs w:val="20"/>
              </w:rPr>
              <w:t>**</w:t>
            </w:r>
          </w:p>
        </w:tc>
        <w:tc>
          <w:tcPr>
            <w:tcW w:w="573" w:type="pct"/>
            <w:vMerge w:val="restart"/>
          </w:tcPr>
          <w:p w:rsidR="00932B23" w:rsidRPr="000D229D" w:rsidRDefault="00932B23" w:rsidP="00DB18B7">
            <w:pPr>
              <w:autoSpaceDE w:val="0"/>
              <w:autoSpaceDN w:val="0"/>
              <w:adjustRightInd w:val="0"/>
              <w:ind w:left="60" w:right="60"/>
              <w:jc w:val="center"/>
              <w:rPr>
                <w:rFonts w:ascii="Times New Roman" w:hAnsi="Times New Roman" w:cs="Times New Roman"/>
                <w:color w:val="000000"/>
                <w:sz w:val="20"/>
                <w:szCs w:val="20"/>
              </w:rPr>
            </w:pPr>
          </w:p>
          <w:p w:rsidR="00932B23" w:rsidRPr="000D229D" w:rsidRDefault="00932B23" w:rsidP="00DB18B7">
            <w:pPr>
              <w:autoSpaceDE w:val="0"/>
              <w:autoSpaceDN w:val="0"/>
              <w:adjustRightInd w:val="0"/>
              <w:ind w:left="60" w:right="60"/>
              <w:jc w:val="center"/>
              <w:rPr>
                <w:rFonts w:ascii="Times New Roman" w:hAnsi="Times New Roman" w:cs="Times New Roman"/>
                <w:color w:val="000000"/>
                <w:sz w:val="20"/>
                <w:szCs w:val="20"/>
              </w:rPr>
            </w:pPr>
          </w:p>
          <w:p w:rsidR="00932B23" w:rsidRPr="000D229D" w:rsidRDefault="00932B23" w:rsidP="00DB18B7">
            <w:pPr>
              <w:autoSpaceDE w:val="0"/>
              <w:autoSpaceDN w:val="0"/>
              <w:adjustRightInd w:val="0"/>
              <w:ind w:left="60" w:right="60"/>
              <w:jc w:val="center"/>
              <w:rPr>
                <w:rFonts w:ascii="Times New Roman" w:hAnsi="Times New Roman" w:cs="Times New Roman"/>
                <w:color w:val="000000"/>
                <w:sz w:val="20"/>
                <w:szCs w:val="20"/>
              </w:rPr>
            </w:pPr>
          </w:p>
          <w:p w:rsidR="00932B23" w:rsidRPr="000D229D" w:rsidRDefault="00932B23" w:rsidP="00DB18B7">
            <w:pPr>
              <w:autoSpaceDE w:val="0"/>
              <w:autoSpaceDN w:val="0"/>
              <w:adjustRightInd w:val="0"/>
              <w:ind w:left="60" w:right="60"/>
              <w:jc w:val="center"/>
              <w:rPr>
                <w:rFonts w:ascii="Times New Roman" w:hAnsi="Times New Roman" w:cs="Times New Roman"/>
                <w:color w:val="000000"/>
                <w:sz w:val="20"/>
                <w:szCs w:val="20"/>
              </w:rPr>
            </w:pPr>
          </w:p>
          <w:p w:rsidR="00932B23" w:rsidRPr="000D229D" w:rsidRDefault="00932B23" w:rsidP="00DB18B7">
            <w:pPr>
              <w:autoSpaceDE w:val="0"/>
              <w:autoSpaceDN w:val="0"/>
              <w:adjustRightInd w:val="0"/>
              <w:ind w:left="60" w:right="60"/>
              <w:jc w:val="center"/>
              <w:rPr>
                <w:rFonts w:ascii="Times New Roman" w:hAnsi="Times New Roman" w:cs="Times New Roman"/>
                <w:color w:val="000000"/>
                <w:sz w:val="20"/>
                <w:szCs w:val="20"/>
              </w:rPr>
            </w:pPr>
            <w:r w:rsidRPr="000D229D">
              <w:rPr>
                <w:rFonts w:ascii="Times New Roman" w:hAnsi="Times New Roman" w:cs="Times New Roman"/>
                <w:color w:val="000000"/>
                <w:sz w:val="20"/>
                <w:szCs w:val="20"/>
              </w:rPr>
              <w:t>***</w:t>
            </w:r>
          </w:p>
        </w:tc>
      </w:tr>
      <w:tr w:rsidR="00932B23" w:rsidRPr="000D229D" w:rsidTr="00932B23">
        <w:trPr>
          <w:trHeight w:val="297"/>
        </w:trPr>
        <w:tc>
          <w:tcPr>
            <w:tcW w:w="667" w:type="pct"/>
            <w:vMerge/>
            <w:vAlign w:val="center"/>
          </w:tcPr>
          <w:p w:rsidR="00932B23" w:rsidRPr="000D229D" w:rsidRDefault="00932B23" w:rsidP="00DB18B7">
            <w:pPr>
              <w:jc w:val="center"/>
              <w:rPr>
                <w:rFonts w:ascii="Times New Roman" w:hAnsi="Times New Roman" w:cs="Times New Roman"/>
                <w:sz w:val="20"/>
                <w:szCs w:val="20"/>
              </w:rPr>
            </w:pPr>
          </w:p>
        </w:tc>
        <w:tc>
          <w:tcPr>
            <w:tcW w:w="1222"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3</w:t>
            </w:r>
          </w:p>
        </w:tc>
        <w:tc>
          <w:tcPr>
            <w:tcW w:w="610"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68(31.6)</w:t>
            </w:r>
          </w:p>
        </w:tc>
        <w:tc>
          <w:tcPr>
            <w:tcW w:w="659"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15(12.9)</w:t>
            </w:r>
          </w:p>
        </w:tc>
        <w:tc>
          <w:tcPr>
            <w:tcW w:w="658"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83(25.1)</w:t>
            </w:r>
          </w:p>
        </w:tc>
        <w:tc>
          <w:tcPr>
            <w:tcW w:w="611" w:type="pct"/>
            <w:vMerge/>
            <w:vAlign w:val="center"/>
          </w:tcPr>
          <w:p w:rsidR="00932B23" w:rsidRPr="000D229D" w:rsidRDefault="00932B23" w:rsidP="00DB18B7">
            <w:pPr>
              <w:autoSpaceDE w:val="0"/>
              <w:autoSpaceDN w:val="0"/>
              <w:adjustRightInd w:val="0"/>
              <w:rPr>
                <w:rFonts w:ascii="Times New Roman" w:hAnsi="Times New Roman" w:cs="Times New Roman"/>
                <w:color w:val="000000"/>
                <w:sz w:val="20"/>
                <w:szCs w:val="20"/>
              </w:rPr>
            </w:pPr>
          </w:p>
        </w:tc>
        <w:tc>
          <w:tcPr>
            <w:tcW w:w="573" w:type="pct"/>
            <w:vMerge/>
          </w:tcPr>
          <w:p w:rsidR="00932B23" w:rsidRPr="000D229D" w:rsidRDefault="00932B23" w:rsidP="00DB18B7">
            <w:pPr>
              <w:autoSpaceDE w:val="0"/>
              <w:autoSpaceDN w:val="0"/>
              <w:adjustRightInd w:val="0"/>
              <w:rPr>
                <w:rFonts w:ascii="Times New Roman" w:hAnsi="Times New Roman" w:cs="Times New Roman"/>
                <w:color w:val="000000"/>
                <w:sz w:val="20"/>
                <w:szCs w:val="20"/>
              </w:rPr>
            </w:pPr>
          </w:p>
        </w:tc>
      </w:tr>
      <w:tr w:rsidR="00932B23" w:rsidRPr="000D229D" w:rsidTr="00932B23">
        <w:trPr>
          <w:trHeight w:val="297"/>
        </w:trPr>
        <w:tc>
          <w:tcPr>
            <w:tcW w:w="667" w:type="pct"/>
            <w:vMerge/>
            <w:vAlign w:val="center"/>
          </w:tcPr>
          <w:p w:rsidR="00932B23" w:rsidRPr="000D229D" w:rsidRDefault="00932B23" w:rsidP="00DB18B7">
            <w:pPr>
              <w:jc w:val="center"/>
              <w:rPr>
                <w:rFonts w:ascii="Times New Roman" w:hAnsi="Times New Roman" w:cs="Times New Roman"/>
                <w:sz w:val="20"/>
                <w:szCs w:val="20"/>
              </w:rPr>
            </w:pPr>
          </w:p>
        </w:tc>
        <w:tc>
          <w:tcPr>
            <w:tcW w:w="1222"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4</w:t>
            </w:r>
          </w:p>
        </w:tc>
        <w:tc>
          <w:tcPr>
            <w:tcW w:w="610"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64(29.8)</w:t>
            </w:r>
          </w:p>
        </w:tc>
        <w:tc>
          <w:tcPr>
            <w:tcW w:w="659"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25(21.6)</w:t>
            </w:r>
          </w:p>
        </w:tc>
        <w:tc>
          <w:tcPr>
            <w:tcW w:w="658"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89(26.9)</w:t>
            </w:r>
          </w:p>
        </w:tc>
        <w:tc>
          <w:tcPr>
            <w:tcW w:w="611" w:type="pct"/>
            <w:vMerge/>
            <w:vAlign w:val="center"/>
          </w:tcPr>
          <w:p w:rsidR="00932B23" w:rsidRPr="000D229D" w:rsidRDefault="00932B23" w:rsidP="00DB18B7">
            <w:pPr>
              <w:autoSpaceDE w:val="0"/>
              <w:autoSpaceDN w:val="0"/>
              <w:adjustRightInd w:val="0"/>
              <w:rPr>
                <w:rFonts w:ascii="Times New Roman" w:hAnsi="Times New Roman" w:cs="Times New Roman"/>
                <w:color w:val="000000"/>
                <w:sz w:val="20"/>
                <w:szCs w:val="20"/>
              </w:rPr>
            </w:pPr>
          </w:p>
        </w:tc>
        <w:tc>
          <w:tcPr>
            <w:tcW w:w="573" w:type="pct"/>
            <w:vMerge/>
          </w:tcPr>
          <w:p w:rsidR="00932B23" w:rsidRPr="000D229D" w:rsidRDefault="00932B23" w:rsidP="00DB18B7">
            <w:pPr>
              <w:autoSpaceDE w:val="0"/>
              <w:autoSpaceDN w:val="0"/>
              <w:adjustRightInd w:val="0"/>
              <w:rPr>
                <w:rFonts w:ascii="Times New Roman" w:hAnsi="Times New Roman" w:cs="Times New Roman"/>
                <w:color w:val="000000"/>
                <w:sz w:val="20"/>
                <w:szCs w:val="20"/>
              </w:rPr>
            </w:pPr>
          </w:p>
        </w:tc>
      </w:tr>
      <w:tr w:rsidR="00932B23" w:rsidRPr="000D229D" w:rsidTr="00932B23">
        <w:trPr>
          <w:trHeight w:val="297"/>
        </w:trPr>
        <w:tc>
          <w:tcPr>
            <w:tcW w:w="667" w:type="pct"/>
            <w:vMerge/>
            <w:vAlign w:val="center"/>
          </w:tcPr>
          <w:p w:rsidR="00932B23" w:rsidRPr="000D229D" w:rsidRDefault="00932B23" w:rsidP="00DB18B7">
            <w:pPr>
              <w:jc w:val="center"/>
              <w:rPr>
                <w:rFonts w:ascii="Times New Roman" w:hAnsi="Times New Roman" w:cs="Times New Roman"/>
                <w:sz w:val="20"/>
                <w:szCs w:val="20"/>
              </w:rPr>
            </w:pPr>
          </w:p>
        </w:tc>
        <w:tc>
          <w:tcPr>
            <w:tcW w:w="1222"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5</w:t>
            </w:r>
          </w:p>
        </w:tc>
        <w:tc>
          <w:tcPr>
            <w:tcW w:w="610"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50(23.3)</w:t>
            </w:r>
          </w:p>
        </w:tc>
        <w:tc>
          <w:tcPr>
            <w:tcW w:w="659"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26(22.4)</w:t>
            </w:r>
          </w:p>
        </w:tc>
        <w:tc>
          <w:tcPr>
            <w:tcW w:w="658"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76(23.0)</w:t>
            </w:r>
          </w:p>
        </w:tc>
        <w:tc>
          <w:tcPr>
            <w:tcW w:w="611" w:type="pct"/>
            <w:vMerge/>
            <w:vAlign w:val="center"/>
          </w:tcPr>
          <w:p w:rsidR="00932B23" w:rsidRPr="000D229D" w:rsidRDefault="00932B23" w:rsidP="00DB18B7">
            <w:pPr>
              <w:autoSpaceDE w:val="0"/>
              <w:autoSpaceDN w:val="0"/>
              <w:adjustRightInd w:val="0"/>
              <w:rPr>
                <w:rFonts w:ascii="Times New Roman" w:hAnsi="Times New Roman" w:cs="Times New Roman"/>
                <w:color w:val="000000"/>
                <w:sz w:val="20"/>
                <w:szCs w:val="20"/>
              </w:rPr>
            </w:pPr>
          </w:p>
        </w:tc>
        <w:tc>
          <w:tcPr>
            <w:tcW w:w="573" w:type="pct"/>
            <w:vMerge/>
          </w:tcPr>
          <w:p w:rsidR="00932B23" w:rsidRPr="000D229D" w:rsidRDefault="00932B23" w:rsidP="00DB18B7">
            <w:pPr>
              <w:autoSpaceDE w:val="0"/>
              <w:autoSpaceDN w:val="0"/>
              <w:adjustRightInd w:val="0"/>
              <w:rPr>
                <w:rFonts w:ascii="Times New Roman" w:hAnsi="Times New Roman" w:cs="Times New Roman"/>
                <w:color w:val="000000"/>
                <w:sz w:val="20"/>
                <w:szCs w:val="20"/>
              </w:rPr>
            </w:pPr>
          </w:p>
        </w:tc>
      </w:tr>
      <w:tr w:rsidR="00932B23" w:rsidRPr="000D229D" w:rsidTr="00932B23">
        <w:trPr>
          <w:trHeight w:val="297"/>
        </w:trPr>
        <w:tc>
          <w:tcPr>
            <w:tcW w:w="667" w:type="pct"/>
            <w:vMerge/>
            <w:vAlign w:val="center"/>
          </w:tcPr>
          <w:p w:rsidR="00932B23" w:rsidRPr="000D229D" w:rsidRDefault="00932B23" w:rsidP="00DB18B7">
            <w:pPr>
              <w:jc w:val="center"/>
              <w:rPr>
                <w:rFonts w:ascii="Times New Roman" w:hAnsi="Times New Roman" w:cs="Times New Roman"/>
                <w:sz w:val="20"/>
                <w:szCs w:val="20"/>
              </w:rPr>
            </w:pPr>
          </w:p>
        </w:tc>
        <w:tc>
          <w:tcPr>
            <w:tcW w:w="1222"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6</w:t>
            </w:r>
          </w:p>
        </w:tc>
        <w:tc>
          <w:tcPr>
            <w:tcW w:w="610"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25(11.6)</w:t>
            </w:r>
          </w:p>
        </w:tc>
        <w:tc>
          <w:tcPr>
            <w:tcW w:w="659"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21(18.1)</w:t>
            </w:r>
          </w:p>
        </w:tc>
        <w:tc>
          <w:tcPr>
            <w:tcW w:w="658"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46(13.9)</w:t>
            </w:r>
          </w:p>
        </w:tc>
        <w:tc>
          <w:tcPr>
            <w:tcW w:w="611" w:type="pct"/>
            <w:vMerge/>
            <w:vAlign w:val="center"/>
          </w:tcPr>
          <w:p w:rsidR="00932B23" w:rsidRPr="000D229D" w:rsidRDefault="00932B23" w:rsidP="00DB18B7">
            <w:pPr>
              <w:autoSpaceDE w:val="0"/>
              <w:autoSpaceDN w:val="0"/>
              <w:adjustRightInd w:val="0"/>
              <w:rPr>
                <w:rFonts w:ascii="Times New Roman" w:hAnsi="Times New Roman" w:cs="Times New Roman"/>
                <w:color w:val="000000"/>
                <w:sz w:val="20"/>
                <w:szCs w:val="20"/>
              </w:rPr>
            </w:pPr>
          </w:p>
        </w:tc>
        <w:tc>
          <w:tcPr>
            <w:tcW w:w="573" w:type="pct"/>
            <w:vMerge/>
          </w:tcPr>
          <w:p w:rsidR="00932B23" w:rsidRPr="000D229D" w:rsidRDefault="00932B23" w:rsidP="00DB18B7">
            <w:pPr>
              <w:autoSpaceDE w:val="0"/>
              <w:autoSpaceDN w:val="0"/>
              <w:adjustRightInd w:val="0"/>
              <w:rPr>
                <w:rFonts w:ascii="Times New Roman" w:hAnsi="Times New Roman" w:cs="Times New Roman"/>
                <w:color w:val="000000"/>
                <w:sz w:val="20"/>
                <w:szCs w:val="20"/>
              </w:rPr>
            </w:pPr>
          </w:p>
        </w:tc>
      </w:tr>
      <w:tr w:rsidR="00932B23" w:rsidRPr="000D229D" w:rsidTr="00932B23">
        <w:trPr>
          <w:trHeight w:val="297"/>
        </w:trPr>
        <w:tc>
          <w:tcPr>
            <w:tcW w:w="667" w:type="pct"/>
            <w:vMerge/>
            <w:vAlign w:val="center"/>
          </w:tcPr>
          <w:p w:rsidR="00932B23" w:rsidRPr="000D229D" w:rsidRDefault="00932B23" w:rsidP="00DB18B7">
            <w:pPr>
              <w:jc w:val="center"/>
              <w:rPr>
                <w:rFonts w:ascii="Times New Roman" w:hAnsi="Times New Roman" w:cs="Times New Roman"/>
                <w:sz w:val="20"/>
                <w:szCs w:val="20"/>
              </w:rPr>
            </w:pPr>
          </w:p>
        </w:tc>
        <w:tc>
          <w:tcPr>
            <w:tcW w:w="1222"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7</w:t>
            </w:r>
          </w:p>
        </w:tc>
        <w:tc>
          <w:tcPr>
            <w:tcW w:w="610"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6(2.8)</w:t>
            </w:r>
          </w:p>
        </w:tc>
        <w:tc>
          <w:tcPr>
            <w:tcW w:w="659"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16(13.8)</w:t>
            </w:r>
          </w:p>
        </w:tc>
        <w:tc>
          <w:tcPr>
            <w:tcW w:w="658"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22(6.6)</w:t>
            </w:r>
          </w:p>
        </w:tc>
        <w:tc>
          <w:tcPr>
            <w:tcW w:w="611" w:type="pct"/>
            <w:vMerge/>
            <w:vAlign w:val="center"/>
          </w:tcPr>
          <w:p w:rsidR="00932B23" w:rsidRPr="000D229D" w:rsidRDefault="00932B23" w:rsidP="00DB18B7">
            <w:pPr>
              <w:autoSpaceDE w:val="0"/>
              <w:autoSpaceDN w:val="0"/>
              <w:adjustRightInd w:val="0"/>
              <w:rPr>
                <w:rFonts w:ascii="Times New Roman" w:hAnsi="Times New Roman" w:cs="Times New Roman"/>
                <w:color w:val="000000"/>
                <w:sz w:val="20"/>
                <w:szCs w:val="20"/>
              </w:rPr>
            </w:pPr>
          </w:p>
        </w:tc>
        <w:tc>
          <w:tcPr>
            <w:tcW w:w="573" w:type="pct"/>
            <w:vMerge/>
          </w:tcPr>
          <w:p w:rsidR="00932B23" w:rsidRPr="000D229D" w:rsidRDefault="00932B23" w:rsidP="00DB18B7">
            <w:pPr>
              <w:autoSpaceDE w:val="0"/>
              <w:autoSpaceDN w:val="0"/>
              <w:adjustRightInd w:val="0"/>
              <w:rPr>
                <w:rFonts w:ascii="Times New Roman" w:hAnsi="Times New Roman" w:cs="Times New Roman"/>
                <w:color w:val="000000"/>
                <w:sz w:val="20"/>
                <w:szCs w:val="20"/>
              </w:rPr>
            </w:pPr>
          </w:p>
        </w:tc>
      </w:tr>
      <w:tr w:rsidR="00932B23" w:rsidRPr="000D229D" w:rsidTr="00932B23">
        <w:trPr>
          <w:trHeight w:val="297"/>
        </w:trPr>
        <w:tc>
          <w:tcPr>
            <w:tcW w:w="667" w:type="pct"/>
            <w:vMerge/>
            <w:vAlign w:val="center"/>
          </w:tcPr>
          <w:p w:rsidR="00932B23" w:rsidRPr="000D229D" w:rsidRDefault="00932B23" w:rsidP="00DB18B7">
            <w:pPr>
              <w:jc w:val="center"/>
              <w:rPr>
                <w:rFonts w:ascii="Times New Roman" w:hAnsi="Times New Roman" w:cs="Times New Roman"/>
                <w:sz w:val="20"/>
                <w:szCs w:val="20"/>
              </w:rPr>
            </w:pPr>
          </w:p>
        </w:tc>
        <w:tc>
          <w:tcPr>
            <w:tcW w:w="1222"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8</w:t>
            </w:r>
          </w:p>
        </w:tc>
        <w:tc>
          <w:tcPr>
            <w:tcW w:w="610"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0(0.0)</w:t>
            </w:r>
          </w:p>
        </w:tc>
        <w:tc>
          <w:tcPr>
            <w:tcW w:w="659"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9(7.8)</w:t>
            </w:r>
          </w:p>
        </w:tc>
        <w:tc>
          <w:tcPr>
            <w:tcW w:w="658"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9(2.7)</w:t>
            </w:r>
          </w:p>
        </w:tc>
        <w:tc>
          <w:tcPr>
            <w:tcW w:w="611" w:type="pct"/>
            <w:vMerge/>
            <w:vAlign w:val="center"/>
          </w:tcPr>
          <w:p w:rsidR="00932B23" w:rsidRPr="000D229D" w:rsidRDefault="00932B23" w:rsidP="00DB18B7">
            <w:pPr>
              <w:autoSpaceDE w:val="0"/>
              <w:autoSpaceDN w:val="0"/>
              <w:adjustRightInd w:val="0"/>
              <w:rPr>
                <w:rFonts w:ascii="Times New Roman" w:hAnsi="Times New Roman" w:cs="Times New Roman"/>
                <w:color w:val="000000"/>
                <w:sz w:val="20"/>
                <w:szCs w:val="20"/>
              </w:rPr>
            </w:pPr>
          </w:p>
        </w:tc>
        <w:tc>
          <w:tcPr>
            <w:tcW w:w="573" w:type="pct"/>
            <w:vMerge/>
          </w:tcPr>
          <w:p w:rsidR="00932B23" w:rsidRPr="000D229D" w:rsidRDefault="00932B23" w:rsidP="00DB18B7">
            <w:pPr>
              <w:autoSpaceDE w:val="0"/>
              <w:autoSpaceDN w:val="0"/>
              <w:adjustRightInd w:val="0"/>
              <w:rPr>
                <w:rFonts w:ascii="Times New Roman" w:hAnsi="Times New Roman" w:cs="Times New Roman"/>
                <w:color w:val="000000"/>
                <w:sz w:val="20"/>
                <w:szCs w:val="20"/>
              </w:rPr>
            </w:pPr>
          </w:p>
        </w:tc>
      </w:tr>
      <w:tr w:rsidR="00932B23" w:rsidRPr="000D229D" w:rsidTr="00932B23">
        <w:trPr>
          <w:trHeight w:val="297"/>
        </w:trPr>
        <w:tc>
          <w:tcPr>
            <w:tcW w:w="667" w:type="pct"/>
            <w:vMerge/>
            <w:vAlign w:val="center"/>
          </w:tcPr>
          <w:p w:rsidR="00932B23" w:rsidRPr="000D229D" w:rsidRDefault="00932B23" w:rsidP="00DB18B7">
            <w:pPr>
              <w:jc w:val="center"/>
              <w:rPr>
                <w:rFonts w:ascii="Times New Roman" w:hAnsi="Times New Roman" w:cs="Times New Roman"/>
                <w:sz w:val="20"/>
                <w:szCs w:val="20"/>
              </w:rPr>
            </w:pPr>
          </w:p>
        </w:tc>
        <w:tc>
          <w:tcPr>
            <w:tcW w:w="1222"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9</w:t>
            </w:r>
          </w:p>
        </w:tc>
        <w:tc>
          <w:tcPr>
            <w:tcW w:w="610"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0(0.0)</w:t>
            </w:r>
          </w:p>
        </w:tc>
        <w:tc>
          <w:tcPr>
            <w:tcW w:w="659"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2(1.7)</w:t>
            </w:r>
          </w:p>
        </w:tc>
        <w:tc>
          <w:tcPr>
            <w:tcW w:w="658" w:type="pct"/>
            <w:vAlign w:val="center"/>
          </w:tcPr>
          <w:p w:rsidR="00932B23" w:rsidRPr="000D229D" w:rsidRDefault="00932B23" w:rsidP="00DB18B7">
            <w:pPr>
              <w:jc w:val="center"/>
              <w:rPr>
                <w:rFonts w:ascii="Times New Roman" w:hAnsi="Times New Roman" w:cs="Times New Roman"/>
                <w:sz w:val="20"/>
                <w:szCs w:val="20"/>
              </w:rPr>
            </w:pPr>
            <w:r w:rsidRPr="000D229D">
              <w:rPr>
                <w:rFonts w:ascii="Times New Roman" w:hAnsi="Times New Roman" w:cs="Times New Roman"/>
                <w:color w:val="000000"/>
                <w:sz w:val="20"/>
                <w:szCs w:val="20"/>
              </w:rPr>
              <w:t>2(0.6)</w:t>
            </w:r>
          </w:p>
        </w:tc>
        <w:tc>
          <w:tcPr>
            <w:tcW w:w="611" w:type="pct"/>
            <w:vMerge/>
            <w:vAlign w:val="center"/>
          </w:tcPr>
          <w:p w:rsidR="00932B23" w:rsidRPr="000D229D" w:rsidRDefault="00932B23" w:rsidP="00DB18B7">
            <w:pPr>
              <w:autoSpaceDE w:val="0"/>
              <w:autoSpaceDN w:val="0"/>
              <w:adjustRightInd w:val="0"/>
              <w:rPr>
                <w:rFonts w:ascii="Times New Roman" w:hAnsi="Times New Roman" w:cs="Times New Roman"/>
                <w:color w:val="000000"/>
                <w:sz w:val="20"/>
                <w:szCs w:val="20"/>
              </w:rPr>
            </w:pPr>
          </w:p>
        </w:tc>
        <w:tc>
          <w:tcPr>
            <w:tcW w:w="573" w:type="pct"/>
            <w:vMerge/>
          </w:tcPr>
          <w:p w:rsidR="00932B23" w:rsidRPr="000D229D" w:rsidRDefault="00932B23" w:rsidP="00DB18B7">
            <w:pPr>
              <w:autoSpaceDE w:val="0"/>
              <w:autoSpaceDN w:val="0"/>
              <w:adjustRightInd w:val="0"/>
              <w:rPr>
                <w:rFonts w:ascii="Times New Roman" w:hAnsi="Times New Roman" w:cs="Times New Roman"/>
                <w:color w:val="000000"/>
                <w:sz w:val="20"/>
                <w:szCs w:val="20"/>
              </w:rPr>
            </w:pPr>
          </w:p>
        </w:tc>
      </w:tr>
      <w:tr w:rsidR="00932B23" w:rsidRPr="000D229D" w:rsidTr="00932B23">
        <w:trPr>
          <w:trHeight w:val="184"/>
        </w:trPr>
        <w:tc>
          <w:tcPr>
            <w:tcW w:w="667" w:type="pct"/>
            <w:vAlign w:val="center"/>
          </w:tcPr>
          <w:p w:rsidR="00932B23" w:rsidRPr="000D229D" w:rsidRDefault="00932B23" w:rsidP="00DB18B7">
            <w:pPr>
              <w:rPr>
                <w:rFonts w:ascii="Times New Roman" w:hAnsi="Times New Roman" w:cs="Times New Roman"/>
                <w:sz w:val="20"/>
                <w:szCs w:val="20"/>
              </w:rPr>
            </w:pPr>
            <w:r w:rsidRPr="000D229D">
              <w:rPr>
                <w:rFonts w:ascii="Times New Roman" w:hAnsi="Times New Roman" w:cs="Times New Roman"/>
                <w:sz w:val="20"/>
                <w:szCs w:val="20"/>
              </w:rPr>
              <w:t xml:space="preserve">Mean HH </w:t>
            </w:r>
          </w:p>
        </w:tc>
        <w:tc>
          <w:tcPr>
            <w:tcW w:w="1222" w:type="pct"/>
            <w:vAlign w:val="center"/>
          </w:tcPr>
          <w:p w:rsidR="00932B23" w:rsidRPr="000D229D" w:rsidRDefault="00932B23" w:rsidP="00DB18B7">
            <w:pPr>
              <w:jc w:val="center"/>
              <w:rPr>
                <w:rFonts w:ascii="Times New Roman" w:hAnsi="Times New Roman" w:cs="Times New Roman"/>
                <w:color w:val="000000"/>
                <w:sz w:val="20"/>
                <w:szCs w:val="20"/>
              </w:rPr>
            </w:pPr>
          </w:p>
        </w:tc>
        <w:tc>
          <w:tcPr>
            <w:tcW w:w="610" w:type="pct"/>
            <w:vAlign w:val="center"/>
          </w:tcPr>
          <w:p w:rsidR="00932B23" w:rsidRPr="000D229D" w:rsidRDefault="00932B23" w:rsidP="00DB18B7">
            <w:pPr>
              <w:jc w:val="center"/>
              <w:rPr>
                <w:rFonts w:ascii="Times New Roman" w:hAnsi="Times New Roman" w:cs="Times New Roman"/>
                <w:color w:val="000000"/>
                <w:sz w:val="20"/>
                <w:szCs w:val="20"/>
              </w:rPr>
            </w:pPr>
            <w:r w:rsidRPr="000D229D">
              <w:rPr>
                <w:rFonts w:ascii="Times New Roman" w:hAnsi="Times New Roman" w:cs="Times New Roman"/>
                <w:color w:val="000000"/>
                <w:sz w:val="20"/>
                <w:szCs w:val="20"/>
              </w:rPr>
              <w:t>4</w:t>
            </w:r>
          </w:p>
        </w:tc>
        <w:tc>
          <w:tcPr>
            <w:tcW w:w="659" w:type="pct"/>
            <w:vAlign w:val="center"/>
          </w:tcPr>
          <w:p w:rsidR="00932B23" w:rsidRPr="000D229D" w:rsidRDefault="00932B23" w:rsidP="00DB18B7">
            <w:pPr>
              <w:jc w:val="center"/>
              <w:rPr>
                <w:rFonts w:ascii="Times New Roman" w:hAnsi="Times New Roman" w:cs="Times New Roman"/>
                <w:color w:val="000000"/>
                <w:sz w:val="20"/>
                <w:szCs w:val="20"/>
              </w:rPr>
            </w:pPr>
            <w:r w:rsidRPr="000D229D">
              <w:rPr>
                <w:rFonts w:ascii="Times New Roman" w:hAnsi="Times New Roman" w:cs="Times New Roman"/>
                <w:color w:val="000000"/>
                <w:sz w:val="20"/>
                <w:szCs w:val="20"/>
              </w:rPr>
              <w:t>5</w:t>
            </w:r>
          </w:p>
        </w:tc>
        <w:tc>
          <w:tcPr>
            <w:tcW w:w="658" w:type="pct"/>
            <w:vAlign w:val="center"/>
          </w:tcPr>
          <w:p w:rsidR="00932B23" w:rsidRPr="000D229D" w:rsidRDefault="00932B23" w:rsidP="00DB18B7">
            <w:pPr>
              <w:jc w:val="center"/>
              <w:rPr>
                <w:rFonts w:ascii="Times New Roman" w:hAnsi="Times New Roman" w:cs="Times New Roman"/>
                <w:color w:val="000000"/>
                <w:sz w:val="20"/>
                <w:szCs w:val="20"/>
              </w:rPr>
            </w:pPr>
            <w:r w:rsidRPr="000D229D">
              <w:rPr>
                <w:rFonts w:ascii="Times New Roman" w:hAnsi="Times New Roman" w:cs="Times New Roman"/>
                <w:color w:val="000000"/>
                <w:sz w:val="20"/>
                <w:szCs w:val="20"/>
              </w:rPr>
              <w:t>4.5</w:t>
            </w:r>
          </w:p>
        </w:tc>
        <w:tc>
          <w:tcPr>
            <w:tcW w:w="611" w:type="pct"/>
            <w:vAlign w:val="center"/>
          </w:tcPr>
          <w:p w:rsidR="00932B23" w:rsidRPr="000D229D" w:rsidRDefault="00932B23" w:rsidP="00DB18B7">
            <w:pPr>
              <w:autoSpaceDE w:val="0"/>
              <w:autoSpaceDN w:val="0"/>
              <w:adjustRightInd w:val="0"/>
              <w:jc w:val="center"/>
              <w:rPr>
                <w:rFonts w:ascii="Times New Roman" w:hAnsi="Times New Roman" w:cs="Times New Roman"/>
                <w:color w:val="000000"/>
                <w:sz w:val="20"/>
                <w:szCs w:val="20"/>
              </w:rPr>
            </w:pPr>
            <w:r w:rsidRPr="000D229D">
              <w:rPr>
                <w:rFonts w:ascii="Times New Roman" w:hAnsi="Times New Roman" w:cs="Times New Roman"/>
                <w:color w:val="000000"/>
                <w:sz w:val="20"/>
                <w:szCs w:val="20"/>
              </w:rPr>
              <w:t>**</w:t>
            </w:r>
          </w:p>
        </w:tc>
        <w:tc>
          <w:tcPr>
            <w:tcW w:w="573" w:type="pct"/>
          </w:tcPr>
          <w:p w:rsidR="00932B23" w:rsidRPr="000D229D" w:rsidRDefault="00932B23" w:rsidP="00DB18B7">
            <w:pPr>
              <w:autoSpaceDE w:val="0"/>
              <w:autoSpaceDN w:val="0"/>
              <w:adjustRightInd w:val="0"/>
              <w:jc w:val="center"/>
              <w:rPr>
                <w:rFonts w:ascii="Times New Roman" w:hAnsi="Times New Roman" w:cs="Times New Roman"/>
                <w:color w:val="000000"/>
                <w:sz w:val="20"/>
                <w:szCs w:val="20"/>
              </w:rPr>
            </w:pPr>
          </w:p>
        </w:tc>
      </w:tr>
      <w:tr w:rsidR="00932B23" w:rsidRPr="000D229D" w:rsidTr="00932B23">
        <w:trPr>
          <w:trHeight w:val="297"/>
        </w:trPr>
        <w:tc>
          <w:tcPr>
            <w:tcW w:w="667" w:type="pct"/>
            <w:vMerge w:val="restart"/>
            <w:vAlign w:val="center"/>
          </w:tcPr>
          <w:p w:rsidR="00932B23" w:rsidRPr="000D229D" w:rsidRDefault="00932B23" w:rsidP="00DB18B7">
            <w:pPr>
              <w:rPr>
                <w:rFonts w:ascii="Times New Roman" w:hAnsi="Times New Roman" w:cs="Times New Roman"/>
                <w:sz w:val="20"/>
                <w:szCs w:val="20"/>
              </w:rPr>
            </w:pPr>
            <w:r w:rsidRPr="000D229D">
              <w:rPr>
                <w:rFonts w:ascii="Times New Roman" w:hAnsi="Times New Roman" w:cs="Times New Roman"/>
                <w:sz w:val="20"/>
                <w:szCs w:val="20"/>
              </w:rPr>
              <w:t>Religion</w:t>
            </w:r>
          </w:p>
        </w:tc>
        <w:tc>
          <w:tcPr>
            <w:tcW w:w="1222" w:type="pct"/>
            <w:vAlign w:val="center"/>
          </w:tcPr>
          <w:p w:rsidR="00932B23" w:rsidRPr="000D229D" w:rsidRDefault="00932B23" w:rsidP="00DB18B7">
            <w:pPr>
              <w:jc w:val="center"/>
              <w:rPr>
                <w:rFonts w:ascii="Times New Roman" w:hAnsi="Times New Roman" w:cs="Times New Roman"/>
                <w:color w:val="000000"/>
                <w:sz w:val="20"/>
                <w:szCs w:val="20"/>
              </w:rPr>
            </w:pPr>
            <w:r w:rsidRPr="000D229D">
              <w:rPr>
                <w:rFonts w:ascii="Times New Roman" w:hAnsi="Times New Roman" w:cs="Times New Roman"/>
                <w:color w:val="000000"/>
                <w:sz w:val="20"/>
                <w:szCs w:val="20"/>
              </w:rPr>
              <w:t xml:space="preserve">Christian </w:t>
            </w:r>
          </w:p>
        </w:tc>
        <w:tc>
          <w:tcPr>
            <w:tcW w:w="610" w:type="pct"/>
            <w:vAlign w:val="center"/>
          </w:tcPr>
          <w:p w:rsidR="00932B23" w:rsidRPr="000D229D" w:rsidRDefault="00932B23" w:rsidP="00DB18B7">
            <w:pPr>
              <w:jc w:val="center"/>
              <w:rPr>
                <w:rFonts w:ascii="Times New Roman" w:hAnsi="Times New Roman" w:cs="Times New Roman"/>
                <w:color w:val="000000"/>
                <w:sz w:val="20"/>
                <w:szCs w:val="20"/>
              </w:rPr>
            </w:pPr>
            <w:r w:rsidRPr="000D229D">
              <w:rPr>
                <w:rFonts w:ascii="Times New Roman" w:hAnsi="Times New Roman" w:cs="Times New Roman"/>
                <w:color w:val="000000"/>
                <w:sz w:val="20"/>
                <w:szCs w:val="20"/>
              </w:rPr>
              <w:t>213(99.1)</w:t>
            </w:r>
          </w:p>
        </w:tc>
        <w:tc>
          <w:tcPr>
            <w:tcW w:w="659" w:type="pct"/>
            <w:vAlign w:val="center"/>
          </w:tcPr>
          <w:p w:rsidR="00932B23" w:rsidRPr="000D229D" w:rsidRDefault="00932B23" w:rsidP="00DB18B7">
            <w:pPr>
              <w:jc w:val="center"/>
              <w:rPr>
                <w:rFonts w:ascii="Times New Roman" w:hAnsi="Times New Roman" w:cs="Times New Roman"/>
                <w:color w:val="000000"/>
                <w:sz w:val="20"/>
                <w:szCs w:val="20"/>
              </w:rPr>
            </w:pPr>
            <w:r w:rsidRPr="000D229D">
              <w:rPr>
                <w:rFonts w:ascii="Times New Roman" w:hAnsi="Times New Roman" w:cs="Times New Roman"/>
                <w:color w:val="000000"/>
                <w:sz w:val="20"/>
                <w:szCs w:val="20"/>
              </w:rPr>
              <w:t>116(100.0)</w:t>
            </w:r>
          </w:p>
        </w:tc>
        <w:tc>
          <w:tcPr>
            <w:tcW w:w="658" w:type="pct"/>
            <w:vAlign w:val="center"/>
          </w:tcPr>
          <w:p w:rsidR="00932B23" w:rsidRPr="000D229D" w:rsidRDefault="00932B23" w:rsidP="00DB18B7">
            <w:pPr>
              <w:jc w:val="center"/>
              <w:rPr>
                <w:rFonts w:ascii="Times New Roman" w:hAnsi="Times New Roman" w:cs="Times New Roman"/>
                <w:color w:val="000000"/>
                <w:sz w:val="20"/>
                <w:szCs w:val="20"/>
              </w:rPr>
            </w:pPr>
            <w:r w:rsidRPr="000D229D">
              <w:rPr>
                <w:rFonts w:ascii="Times New Roman" w:hAnsi="Times New Roman" w:cs="Times New Roman"/>
                <w:color w:val="000000"/>
                <w:sz w:val="20"/>
                <w:szCs w:val="20"/>
              </w:rPr>
              <w:t>329(99.4)</w:t>
            </w:r>
          </w:p>
        </w:tc>
        <w:tc>
          <w:tcPr>
            <w:tcW w:w="611" w:type="pct"/>
            <w:vMerge w:val="restart"/>
            <w:vAlign w:val="center"/>
          </w:tcPr>
          <w:p w:rsidR="00932B23" w:rsidRPr="000D229D" w:rsidRDefault="00932B23" w:rsidP="00DB18B7">
            <w:pPr>
              <w:autoSpaceDE w:val="0"/>
              <w:autoSpaceDN w:val="0"/>
              <w:adjustRightInd w:val="0"/>
              <w:jc w:val="center"/>
              <w:rPr>
                <w:rFonts w:ascii="Times New Roman" w:hAnsi="Times New Roman" w:cs="Times New Roman"/>
                <w:color w:val="000000"/>
                <w:sz w:val="20"/>
                <w:szCs w:val="20"/>
              </w:rPr>
            </w:pPr>
            <w:r w:rsidRPr="000D229D">
              <w:rPr>
                <w:rFonts w:ascii="Times New Roman" w:hAnsi="Times New Roman" w:cs="Times New Roman"/>
                <w:color w:val="000000"/>
                <w:sz w:val="20"/>
                <w:szCs w:val="20"/>
              </w:rPr>
              <w:t>**</w:t>
            </w:r>
          </w:p>
        </w:tc>
        <w:tc>
          <w:tcPr>
            <w:tcW w:w="573" w:type="pct"/>
            <w:vMerge w:val="restart"/>
          </w:tcPr>
          <w:p w:rsidR="00932B23" w:rsidRPr="000D229D" w:rsidRDefault="00932B23" w:rsidP="00DB18B7">
            <w:pPr>
              <w:autoSpaceDE w:val="0"/>
              <w:autoSpaceDN w:val="0"/>
              <w:adjustRightInd w:val="0"/>
              <w:jc w:val="center"/>
              <w:rPr>
                <w:rFonts w:ascii="Times New Roman" w:hAnsi="Times New Roman" w:cs="Times New Roman"/>
                <w:color w:val="000000"/>
                <w:sz w:val="20"/>
                <w:szCs w:val="20"/>
              </w:rPr>
            </w:pPr>
          </w:p>
          <w:p w:rsidR="00932B23" w:rsidRPr="000D229D" w:rsidRDefault="00932B23" w:rsidP="00DB18B7">
            <w:pPr>
              <w:autoSpaceDE w:val="0"/>
              <w:autoSpaceDN w:val="0"/>
              <w:adjustRightInd w:val="0"/>
              <w:jc w:val="center"/>
              <w:rPr>
                <w:rFonts w:ascii="Times New Roman" w:hAnsi="Times New Roman" w:cs="Times New Roman"/>
                <w:color w:val="000000"/>
                <w:sz w:val="20"/>
                <w:szCs w:val="20"/>
              </w:rPr>
            </w:pPr>
            <w:r w:rsidRPr="000D229D">
              <w:rPr>
                <w:rFonts w:ascii="Times New Roman" w:hAnsi="Times New Roman" w:cs="Times New Roman"/>
                <w:color w:val="000000"/>
                <w:sz w:val="20"/>
                <w:szCs w:val="20"/>
              </w:rPr>
              <w:t>0.543</w:t>
            </w:r>
          </w:p>
        </w:tc>
      </w:tr>
      <w:tr w:rsidR="00932B23" w:rsidRPr="000D229D" w:rsidTr="00932B23">
        <w:trPr>
          <w:trHeight w:val="297"/>
        </w:trPr>
        <w:tc>
          <w:tcPr>
            <w:tcW w:w="667" w:type="pct"/>
            <w:vMerge/>
            <w:vAlign w:val="center"/>
          </w:tcPr>
          <w:p w:rsidR="00932B23" w:rsidRPr="000D229D" w:rsidRDefault="00932B23" w:rsidP="00DB18B7">
            <w:pPr>
              <w:rPr>
                <w:rFonts w:ascii="Times New Roman" w:hAnsi="Times New Roman" w:cs="Times New Roman"/>
                <w:sz w:val="20"/>
                <w:szCs w:val="20"/>
              </w:rPr>
            </w:pPr>
          </w:p>
        </w:tc>
        <w:tc>
          <w:tcPr>
            <w:tcW w:w="1222" w:type="pct"/>
            <w:vAlign w:val="center"/>
          </w:tcPr>
          <w:p w:rsidR="00932B23" w:rsidRPr="000D229D" w:rsidRDefault="00932B23" w:rsidP="00DB18B7">
            <w:pPr>
              <w:jc w:val="center"/>
              <w:rPr>
                <w:rFonts w:ascii="Times New Roman" w:hAnsi="Times New Roman" w:cs="Times New Roman"/>
                <w:color w:val="000000"/>
                <w:sz w:val="20"/>
                <w:szCs w:val="20"/>
              </w:rPr>
            </w:pPr>
            <w:r w:rsidRPr="000D229D">
              <w:rPr>
                <w:rFonts w:ascii="Times New Roman" w:hAnsi="Times New Roman" w:cs="Times New Roman"/>
                <w:color w:val="000000"/>
                <w:sz w:val="20"/>
                <w:szCs w:val="20"/>
              </w:rPr>
              <w:t>Muslim</w:t>
            </w:r>
          </w:p>
        </w:tc>
        <w:tc>
          <w:tcPr>
            <w:tcW w:w="610" w:type="pct"/>
            <w:vAlign w:val="center"/>
          </w:tcPr>
          <w:p w:rsidR="00932B23" w:rsidRPr="000D229D" w:rsidRDefault="00932B23" w:rsidP="00DB18B7">
            <w:pPr>
              <w:jc w:val="center"/>
              <w:rPr>
                <w:rFonts w:ascii="Times New Roman" w:hAnsi="Times New Roman" w:cs="Times New Roman"/>
                <w:color w:val="000000"/>
                <w:sz w:val="20"/>
                <w:szCs w:val="20"/>
              </w:rPr>
            </w:pPr>
            <w:r w:rsidRPr="000D229D">
              <w:rPr>
                <w:rFonts w:ascii="Times New Roman" w:hAnsi="Times New Roman" w:cs="Times New Roman"/>
                <w:color w:val="000000"/>
                <w:sz w:val="20"/>
                <w:szCs w:val="20"/>
              </w:rPr>
              <w:t>2(0.9)</w:t>
            </w:r>
          </w:p>
        </w:tc>
        <w:tc>
          <w:tcPr>
            <w:tcW w:w="659" w:type="pct"/>
            <w:vAlign w:val="center"/>
          </w:tcPr>
          <w:p w:rsidR="00932B23" w:rsidRPr="000D229D" w:rsidRDefault="00932B23" w:rsidP="00DB18B7">
            <w:pPr>
              <w:jc w:val="center"/>
              <w:rPr>
                <w:rFonts w:ascii="Times New Roman" w:hAnsi="Times New Roman" w:cs="Times New Roman"/>
                <w:color w:val="000000"/>
                <w:sz w:val="20"/>
                <w:szCs w:val="20"/>
              </w:rPr>
            </w:pPr>
            <w:r w:rsidRPr="000D229D">
              <w:rPr>
                <w:rFonts w:ascii="Times New Roman" w:hAnsi="Times New Roman" w:cs="Times New Roman"/>
                <w:color w:val="000000"/>
                <w:sz w:val="20"/>
                <w:szCs w:val="20"/>
              </w:rPr>
              <w:t>0(0.0)</w:t>
            </w:r>
          </w:p>
        </w:tc>
        <w:tc>
          <w:tcPr>
            <w:tcW w:w="658" w:type="pct"/>
            <w:vAlign w:val="center"/>
          </w:tcPr>
          <w:p w:rsidR="00932B23" w:rsidRPr="000D229D" w:rsidRDefault="00932B23" w:rsidP="00DB18B7">
            <w:pPr>
              <w:jc w:val="center"/>
              <w:rPr>
                <w:rFonts w:ascii="Times New Roman" w:hAnsi="Times New Roman" w:cs="Times New Roman"/>
                <w:color w:val="000000"/>
                <w:sz w:val="20"/>
                <w:szCs w:val="20"/>
              </w:rPr>
            </w:pPr>
            <w:r w:rsidRPr="000D229D">
              <w:rPr>
                <w:rFonts w:ascii="Times New Roman" w:hAnsi="Times New Roman" w:cs="Times New Roman"/>
                <w:color w:val="000000"/>
                <w:sz w:val="20"/>
                <w:szCs w:val="20"/>
              </w:rPr>
              <w:t>2(0.6)</w:t>
            </w:r>
          </w:p>
        </w:tc>
        <w:tc>
          <w:tcPr>
            <w:tcW w:w="611" w:type="pct"/>
            <w:vMerge/>
            <w:vAlign w:val="center"/>
          </w:tcPr>
          <w:p w:rsidR="00932B23" w:rsidRPr="000D229D" w:rsidRDefault="00932B23" w:rsidP="00DB18B7">
            <w:pPr>
              <w:autoSpaceDE w:val="0"/>
              <w:autoSpaceDN w:val="0"/>
              <w:adjustRightInd w:val="0"/>
              <w:jc w:val="center"/>
              <w:rPr>
                <w:rFonts w:ascii="Times New Roman" w:hAnsi="Times New Roman" w:cs="Times New Roman"/>
                <w:color w:val="000000"/>
                <w:sz w:val="20"/>
                <w:szCs w:val="20"/>
              </w:rPr>
            </w:pPr>
          </w:p>
        </w:tc>
        <w:tc>
          <w:tcPr>
            <w:tcW w:w="573" w:type="pct"/>
            <w:vMerge/>
          </w:tcPr>
          <w:p w:rsidR="00932B23" w:rsidRPr="000D229D" w:rsidRDefault="00932B23" w:rsidP="00DB18B7">
            <w:pPr>
              <w:autoSpaceDE w:val="0"/>
              <w:autoSpaceDN w:val="0"/>
              <w:adjustRightInd w:val="0"/>
              <w:jc w:val="center"/>
              <w:rPr>
                <w:rFonts w:ascii="Times New Roman" w:hAnsi="Times New Roman" w:cs="Times New Roman"/>
                <w:color w:val="000000"/>
                <w:sz w:val="20"/>
                <w:szCs w:val="20"/>
              </w:rPr>
            </w:pPr>
          </w:p>
        </w:tc>
      </w:tr>
    </w:tbl>
    <w:p w:rsidR="00932B23" w:rsidRPr="00B67EB0" w:rsidRDefault="00932B23" w:rsidP="00DB18B7">
      <w:pPr>
        <w:spacing w:after="0" w:line="240" w:lineRule="auto"/>
        <w:jc w:val="both"/>
        <w:rPr>
          <w:rFonts w:ascii="Times New Roman" w:hAnsi="Times New Roman" w:cs="Times New Roman"/>
          <w:sz w:val="18"/>
          <w:szCs w:val="18"/>
        </w:rPr>
      </w:pPr>
      <w:r w:rsidRPr="00B67EB0">
        <w:rPr>
          <w:rFonts w:ascii="Times New Roman" w:hAnsi="Times New Roman" w:cs="Times New Roman"/>
          <w:sz w:val="18"/>
          <w:szCs w:val="18"/>
        </w:rPr>
        <w:t>*Significant value</w:t>
      </w:r>
    </w:p>
    <w:p w:rsidR="00932B23" w:rsidRDefault="00932B23" w:rsidP="00DB18B7">
      <w:pPr>
        <w:spacing w:after="0" w:line="240" w:lineRule="auto"/>
        <w:jc w:val="both"/>
        <w:rPr>
          <w:rFonts w:ascii="Times New Roman" w:hAnsi="Times New Roman" w:cs="Times New Roman"/>
          <w:sz w:val="18"/>
          <w:szCs w:val="18"/>
        </w:rPr>
      </w:pPr>
      <w:r w:rsidRPr="00B67EB0">
        <w:rPr>
          <w:rFonts w:ascii="Times New Roman" w:hAnsi="Times New Roman" w:cs="Times New Roman"/>
          <w:sz w:val="18"/>
          <w:szCs w:val="18"/>
        </w:rPr>
        <w:t>** Not applicable for chi square analysis (cells with less than 5 counts)</w:t>
      </w:r>
    </w:p>
    <w:p w:rsidR="00932B23" w:rsidRPr="00B67EB0" w:rsidRDefault="00932B23" w:rsidP="00DB18B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Only for 2*2 tables</w:t>
      </w:r>
    </w:p>
    <w:p w:rsidR="0086220E" w:rsidRDefault="0086220E" w:rsidP="000D229D">
      <w:pPr>
        <w:spacing w:line="360" w:lineRule="auto"/>
        <w:rPr>
          <w:rFonts w:ascii="Times New Roman" w:hAnsi="Times New Roman" w:cs="Times New Roman"/>
          <w:sz w:val="24"/>
          <w:szCs w:val="24"/>
        </w:rPr>
      </w:pPr>
    </w:p>
    <w:p w:rsidR="00932B23" w:rsidRPr="00D91F0B" w:rsidRDefault="00932B23" w:rsidP="000D229D">
      <w:pPr>
        <w:pStyle w:val="Heading3"/>
        <w:spacing w:line="360" w:lineRule="auto"/>
        <w:rPr>
          <w:rFonts w:ascii="Times New Roman" w:hAnsi="Times New Roman" w:cs="Times New Roman"/>
          <w:color w:val="auto"/>
          <w:sz w:val="24"/>
          <w:szCs w:val="24"/>
        </w:rPr>
      </w:pPr>
      <w:bookmarkStart w:id="3" w:name="_Toc15113585"/>
      <w:r>
        <w:rPr>
          <w:rFonts w:ascii="Times New Roman" w:hAnsi="Times New Roman" w:cs="Times New Roman"/>
          <w:color w:val="auto"/>
          <w:sz w:val="24"/>
          <w:szCs w:val="24"/>
        </w:rPr>
        <w:t>Foods consumed by C</w:t>
      </w:r>
      <w:r w:rsidRPr="00D91F0B">
        <w:rPr>
          <w:rFonts w:ascii="Times New Roman" w:hAnsi="Times New Roman" w:cs="Times New Roman"/>
          <w:color w:val="auto"/>
          <w:sz w:val="24"/>
          <w:szCs w:val="24"/>
        </w:rPr>
        <w:t>hildren.</w:t>
      </w:r>
      <w:bookmarkEnd w:id="3"/>
    </w:p>
    <w:p w:rsidR="00932B23" w:rsidRDefault="00932B23" w:rsidP="000D229D">
      <w:pPr>
        <w:spacing w:after="0" w:line="360" w:lineRule="auto"/>
        <w:jc w:val="both"/>
        <w:rPr>
          <w:rFonts w:ascii="Times New Roman" w:hAnsi="Times New Roman" w:cs="Times New Roman"/>
          <w:sz w:val="24"/>
          <w:szCs w:val="24"/>
        </w:rPr>
      </w:pPr>
      <w:r w:rsidRPr="002C30B7">
        <w:rPr>
          <w:rFonts w:ascii="Times New Roman" w:hAnsi="Times New Roman" w:cs="Times New Roman"/>
          <w:sz w:val="24"/>
          <w:szCs w:val="24"/>
        </w:rPr>
        <w:t xml:space="preserve">Analysis on </w:t>
      </w:r>
      <w:r>
        <w:rPr>
          <w:rFonts w:ascii="Times New Roman" w:hAnsi="Times New Roman" w:cs="Times New Roman"/>
          <w:sz w:val="24"/>
          <w:szCs w:val="24"/>
        </w:rPr>
        <w:t>foods</w:t>
      </w:r>
      <w:r w:rsidRPr="002C30B7">
        <w:rPr>
          <w:rFonts w:ascii="Times New Roman" w:hAnsi="Times New Roman" w:cs="Times New Roman"/>
          <w:sz w:val="24"/>
          <w:szCs w:val="24"/>
        </w:rPr>
        <w:t xml:space="preserve"> cons</w:t>
      </w:r>
      <w:r>
        <w:rPr>
          <w:rFonts w:ascii="Times New Roman" w:hAnsi="Times New Roman" w:cs="Times New Roman"/>
          <w:sz w:val="24"/>
          <w:szCs w:val="24"/>
        </w:rPr>
        <w:t xml:space="preserve">umed </w:t>
      </w:r>
      <w:r w:rsidRPr="002C30B7">
        <w:rPr>
          <w:rFonts w:ascii="Times New Roman" w:hAnsi="Times New Roman" w:cs="Times New Roman"/>
          <w:sz w:val="24"/>
          <w:szCs w:val="24"/>
        </w:rPr>
        <w:t>was done for children less than 6 months and children 6 -23 months.</w:t>
      </w:r>
      <w:r w:rsidRPr="00F85722">
        <w:rPr>
          <w:rFonts w:ascii="Times New Roman" w:hAnsi="Times New Roman" w:cs="Times New Roman"/>
          <w:sz w:val="24"/>
          <w:szCs w:val="24"/>
        </w:rPr>
        <w:t xml:space="preserve"> </w:t>
      </w:r>
      <w:r w:rsidR="00DB18B7">
        <w:rPr>
          <w:rFonts w:ascii="Times New Roman" w:hAnsi="Times New Roman" w:cs="Times New Roman"/>
          <w:sz w:val="24"/>
          <w:szCs w:val="24"/>
        </w:rPr>
        <w:t>M</w:t>
      </w:r>
      <w:r>
        <w:rPr>
          <w:rFonts w:ascii="Times New Roman" w:hAnsi="Times New Roman" w:cs="Times New Roman"/>
          <w:sz w:val="24"/>
          <w:szCs w:val="24"/>
        </w:rPr>
        <w:t xml:space="preserve">ixed feeding was the most practiced mode of feeding (43.5%) </w:t>
      </w:r>
      <w:r w:rsidR="00DB18B7">
        <w:rPr>
          <w:rFonts w:ascii="Times New Roman" w:hAnsi="Times New Roman" w:cs="Times New Roman"/>
          <w:sz w:val="24"/>
          <w:szCs w:val="24"/>
        </w:rPr>
        <w:t xml:space="preserve">for children &lt;6 months, </w:t>
      </w:r>
      <w:r>
        <w:rPr>
          <w:rFonts w:ascii="Times New Roman" w:hAnsi="Times New Roman" w:cs="Times New Roman"/>
          <w:sz w:val="24"/>
          <w:szCs w:val="24"/>
        </w:rPr>
        <w:lastRenderedPageBreak/>
        <w:t>for both urban and rural respondents followed by exclusive breastfeeding (40.3%). E</w:t>
      </w:r>
      <w:r w:rsidRPr="002C30B7">
        <w:rPr>
          <w:rFonts w:ascii="Times New Roman" w:hAnsi="Times New Roman" w:cs="Times New Roman"/>
          <w:sz w:val="24"/>
          <w:szCs w:val="24"/>
        </w:rPr>
        <w:t xml:space="preserve">xclusive breastfeeding </w:t>
      </w:r>
      <w:r>
        <w:rPr>
          <w:rFonts w:ascii="Times New Roman" w:hAnsi="Times New Roman" w:cs="Times New Roman"/>
          <w:sz w:val="24"/>
          <w:szCs w:val="24"/>
        </w:rPr>
        <w:t xml:space="preserve">rates were higher at </w:t>
      </w:r>
      <w:r w:rsidRPr="002C30B7">
        <w:rPr>
          <w:rFonts w:ascii="Times New Roman" w:hAnsi="Times New Roman" w:cs="Times New Roman"/>
          <w:sz w:val="24"/>
          <w:szCs w:val="24"/>
        </w:rPr>
        <w:t xml:space="preserve">42.9% </w:t>
      </w:r>
      <w:r>
        <w:rPr>
          <w:rFonts w:ascii="Times New Roman" w:hAnsi="Times New Roman" w:cs="Times New Roman"/>
          <w:sz w:val="24"/>
          <w:szCs w:val="24"/>
        </w:rPr>
        <w:t>in the rural and 38.2% in the urban area.</w:t>
      </w:r>
      <w:r w:rsidRPr="002C30B7">
        <w:rPr>
          <w:rFonts w:ascii="Times New Roman" w:hAnsi="Times New Roman" w:cs="Times New Roman"/>
          <w:sz w:val="24"/>
          <w:szCs w:val="24"/>
        </w:rPr>
        <w:t xml:space="preserve"> </w:t>
      </w:r>
      <w:r>
        <w:rPr>
          <w:rFonts w:ascii="Times New Roman" w:hAnsi="Times New Roman" w:cs="Times New Roman"/>
          <w:sz w:val="24"/>
          <w:szCs w:val="24"/>
        </w:rPr>
        <w:t>More children in urban areas received liquids and water in addition to breast milk as p</w:t>
      </w:r>
      <w:r w:rsidRPr="002C30B7">
        <w:rPr>
          <w:rFonts w:ascii="Times New Roman" w:hAnsi="Times New Roman" w:cs="Times New Roman"/>
          <w:sz w:val="24"/>
          <w:szCs w:val="24"/>
        </w:rPr>
        <w:t xml:space="preserve">redominant breastfeeding </w:t>
      </w:r>
      <w:r>
        <w:rPr>
          <w:rFonts w:ascii="Times New Roman" w:hAnsi="Times New Roman" w:cs="Times New Roman"/>
          <w:sz w:val="24"/>
          <w:szCs w:val="24"/>
        </w:rPr>
        <w:t>was at 17% compared to rural areas at 7</w:t>
      </w:r>
      <w:r w:rsidR="00047CA2">
        <w:rPr>
          <w:rFonts w:ascii="Times New Roman" w:hAnsi="Times New Roman" w:cs="Times New Roman"/>
          <w:sz w:val="24"/>
          <w:szCs w:val="24"/>
        </w:rPr>
        <w:t>.1%. See Table 2</w:t>
      </w:r>
    </w:p>
    <w:p w:rsidR="00932B23" w:rsidRPr="003A4FED" w:rsidRDefault="00932B23" w:rsidP="00932B23">
      <w:pPr>
        <w:pStyle w:val="Heading4"/>
        <w:spacing w:before="0" w:line="480" w:lineRule="auto"/>
        <w:rPr>
          <w:rFonts w:ascii="Times New Roman" w:hAnsi="Times New Roman" w:cs="Times New Roman"/>
          <w:i w:val="0"/>
          <w:color w:val="auto"/>
          <w:sz w:val="24"/>
          <w:szCs w:val="24"/>
        </w:rPr>
      </w:pPr>
      <w:bookmarkStart w:id="4" w:name="_Toc5363709"/>
      <w:bookmarkStart w:id="5" w:name="_Toc14839545"/>
      <w:r w:rsidRPr="003A4FED">
        <w:rPr>
          <w:rFonts w:ascii="Times New Roman" w:hAnsi="Times New Roman" w:cs="Times New Roman"/>
          <w:i w:val="0"/>
          <w:color w:val="auto"/>
          <w:sz w:val="24"/>
          <w:szCs w:val="24"/>
        </w:rPr>
        <w:t>T</w:t>
      </w:r>
      <w:r>
        <w:rPr>
          <w:rFonts w:ascii="Times New Roman" w:hAnsi="Times New Roman" w:cs="Times New Roman"/>
          <w:i w:val="0"/>
          <w:color w:val="auto"/>
          <w:sz w:val="24"/>
          <w:szCs w:val="24"/>
        </w:rPr>
        <w:t>able 2</w:t>
      </w:r>
      <w:r w:rsidR="00047CA2">
        <w:rPr>
          <w:rFonts w:ascii="Times New Roman" w:hAnsi="Times New Roman" w:cs="Times New Roman"/>
          <w:i w:val="0"/>
          <w:color w:val="auto"/>
          <w:sz w:val="24"/>
          <w:szCs w:val="24"/>
        </w:rPr>
        <w:t>:</w:t>
      </w:r>
      <w:r w:rsidRPr="003A4FED">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Breastfeeding type for</w:t>
      </w:r>
      <w:r w:rsidRPr="003A4FED">
        <w:rPr>
          <w:rFonts w:ascii="Times New Roman" w:hAnsi="Times New Roman" w:cs="Times New Roman"/>
          <w:i w:val="0"/>
          <w:color w:val="auto"/>
          <w:sz w:val="24"/>
          <w:szCs w:val="24"/>
        </w:rPr>
        <w:t xml:space="preserve"> children less than 6 months by residence</w:t>
      </w:r>
      <w:bookmarkEnd w:id="4"/>
      <w:bookmarkEnd w:id="5"/>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077"/>
        <w:gridCol w:w="1887"/>
        <w:gridCol w:w="1398"/>
        <w:gridCol w:w="1222"/>
        <w:gridCol w:w="1400"/>
        <w:gridCol w:w="1239"/>
      </w:tblGrid>
      <w:tr w:rsidR="00932B23" w:rsidRPr="000D229D" w:rsidTr="00932B23">
        <w:trPr>
          <w:jc w:val="center"/>
        </w:trPr>
        <w:tc>
          <w:tcPr>
            <w:tcW w:w="706" w:type="pct"/>
            <w:vMerge w:val="restart"/>
          </w:tcPr>
          <w:p w:rsidR="00932B23" w:rsidRPr="000D229D" w:rsidRDefault="00932B23" w:rsidP="00932B23">
            <w:pPr>
              <w:autoSpaceDE w:val="0"/>
              <w:autoSpaceDN w:val="0"/>
              <w:adjustRightInd w:val="0"/>
              <w:spacing w:after="240"/>
              <w:rPr>
                <w:rFonts w:ascii="Times New Roman" w:hAnsi="Times New Roman" w:cs="Times New Roman"/>
                <w:sz w:val="20"/>
                <w:szCs w:val="20"/>
              </w:rPr>
            </w:pPr>
            <w:r w:rsidRPr="000D229D">
              <w:rPr>
                <w:rFonts w:ascii="Times New Roman" w:hAnsi="Times New Roman" w:cs="Times New Roman"/>
                <w:sz w:val="20"/>
                <w:szCs w:val="20"/>
              </w:rPr>
              <w:t>Residence</w:t>
            </w:r>
          </w:p>
        </w:tc>
        <w:tc>
          <w:tcPr>
            <w:tcW w:w="562" w:type="pct"/>
            <w:vMerge w:val="restart"/>
          </w:tcPr>
          <w:p w:rsidR="00932B23" w:rsidRPr="000D229D" w:rsidRDefault="00932B23" w:rsidP="00932B23">
            <w:pPr>
              <w:autoSpaceDE w:val="0"/>
              <w:autoSpaceDN w:val="0"/>
              <w:adjustRightInd w:val="0"/>
              <w:ind w:left="-144" w:right="-6"/>
              <w:jc w:val="center"/>
              <w:rPr>
                <w:rFonts w:ascii="Times New Roman" w:hAnsi="Times New Roman" w:cs="Times New Roman"/>
                <w:sz w:val="20"/>
                <w:szCs w:val="20"/>
              </w:rPr>
            </w:pPr>
            <w:r w:rsidRPr="000D229D">
              <w:rPr>
                <w:rFonts w:ascii="Times New Roman" w:hAnsi="Times New Roman" w:cs="Times New Roman"/>
                <w:sz w:val="20"/>
                <w:szCs w:val="20"/>
              </w:rPr>
              <w:t>Age</w:t>
            </w:r>
          </w:p>
          <w:p w:rsidR="00932B23" w:rsidRPr="000D229D" w:rsidRDefault="00932B23" w:rsidP="00932B23">
            <w:pPr>
              <w:autoSpaceDE w:val="0"/>
              <w:autoSpaceDN w:val="0"/>
              <w:adjustRightInd w:val="0"/>
              <w:ind w:left="-144" w:right="-6"/>
              <w:jc w:val="center"/>
              <w:rPr>
                <w:rFonts w:ascii="Times New Roman" w:hAnsi="Times New Roman" w:cs="Times New Roman"/>
                <w:sz w:val="20"/>
                <w:szCs w:val="20"/>
              </w:rPr>
            </w:pPr>
            <w:r w:rsidRPr="000D229D">
              <w:rPr>
                <w:rFonts w:ascii="Times New Roman" w:hAnsi="Times New Roman" w:cs="Times New Roman"/>
                <w:sz w:val="20"/>
                <w:szCs w:val="20"/>
              </w:rPr>
              <w:t>0-&lt;6  months</w:t>
            </w:r>
          </w:p>
        </w:tc>
        <w:tc>
          <w:tcPr>
            <w:tcW w:w="3084" w:type="pct"/>
            <w:gridSpan w:val="4"/>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 xml:space="preserve">Breastfeeding type </w:t>
            </w:r>
          </w:p>
        </w:tc>
        <w:tc>
          <w:tcPr>
            <w:tcW w:w="647" w:type="pct"/>
            <w:vMerge w:val="restar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Total</w:t>
            </w:r>
          </w:p>
        </w:tc>
      </w:tr>
      <w:tr w:rsidR="00932B23" w:rsidRPr="000D229D" w:rsidTr="00932B23">
        <w:trPr>
          <w:jc w:val="center"/>
        </w:trPr>
        <w:tc>
          <w:tcPr>
            <w:tcW w:w="706" w:type="pct"/>
            <w:vMerge/>
            <w:tcBorders>
              <w:bottom w:val="nil"/>
            </w:tcBorders>
          </w:tcPr>
          <w:p w:rsidR="00932B23" w:rsidRPr="000D229D" w:rsidRDefault="00932B23" w:rsidP="00932B23">
            <w:pPr>
              <w:autoSpaceDE w:val="0"/>
              <w:autoSpaceDN w:val="0"/>
              <w:adjustRightInd w:val="0"/>
              <w:rPr>
                <w:rFonts w:ascii="Times New Roman" w:hAnsi="Times New Roman" w:cs="Times New Roman"/>
                <w:sz w:val="20"/>
                <w:szCs w:val="20"/>
              </w:rPr>
            </w:pPr>
          </w:p>
        </w:tc>
        <w:tc>
          <w:tcPr>
            <w:tcW w:w="562" w:type="pct"/>
            <w:vMerge/>
            <w:tcBorders>
              <w:bottom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p>
        </w:tc>
        <w:tc>
          <w:tcPr>
            <w:tcW w:w="985" w:type="pct"/>
            <w:tcBorders>
              <w:bottom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Exclusive Breastfeeding</w:t>
            </w:r>
          </w:p>
        </w:tc>
        <w:tc>
          <w:tcPr>
            <w:tcW w:w="730" w:type="pct"/>
            <w:tcBorders>
              <w:bottom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Predominant Breastfeeding</w:t>
            </w:r>
          </w:p>
        </w:tc>
        <w:tc>
          <w:tcPr>
            <w:tcW w:w="638" w:type="pct"/>
            <w:tcBorders>
              <w:bottom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Mixed Feeding</w:t>
            </w:r>
          </w:p>
        </w:tc>
        <w:tc>
          <w:tcPr>
            <w:tcW w:w="731" w:type="pct"/>
            <w:tcBorders>
              <w:bottom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No breastfeeding</w:t>
            </w:r>
          </w:p>
        </w:tc>
        <w:tc>
          <w:tcPr>
            <w:tcW w:w="647" w:type="pct"/>
            <w:vMerge/>
            <w:tcBorders>
              <w:bottom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p>
        </w:tc>
      </w:tr>
      <w:tr w:rsidR="00932B23" w:rsidRPr="000D229D" w:rsidTr="00932B23">
        <w:trPr>
          <w:trHeight w:val="216"/>
          <w:jc w:val="center"/>
        </w:trPr>
        <w:tc>
          <w:tcPr>
            <w:tcW w:w="706" w:type="pct"/>
            <w:tcBorders>
              <w:top w:val="nil"/>
              <w:bottom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p>
        </w:tc>
        <w:tc>
          <w:tcPr>
            <w:tcW w:w="562" w:type="pct"/>
            <w:tcBorders>
              <w:top w:val="nil"/>
              <w:bottom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(n)</w:t>
            </w:r>
          </w:p>
        </w:tc>
        <w:tc>
          <w:tcPr>
            <w:tcW w:w="985" w:type="pct"/>
            <w:tcBorders>
              <w:top w:val="nil"/>
              <w:bottom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 xml:space="preserve"> n(%)</w:t>
            </w:r>
          </w:p>
        </w:tc>
        <w:tc>
          <w:tcPr>
            <w:tcW w:w="730" w:type="pct"/>
            <w:tcBorders>
              <w:top w:val="nil"/>
              <w:bottom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n(%)</w:t>
            </w:r>
          </w:p>
        </w:tc>
        <w:tc>
          <w:tcPr>
            <w:tcW w:w="638" w:type="pct"/>
            <w:tcBorders>
              <w:top w:val="nil"/>
              <w:bottom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n(%)</w:t>
            </w:r>
          </w:p>
        </w:tc>
        <w:tc>
          <w:tcPr>
            <w:tcW w:w="731" w:type="pct"/>
            <w:tcBorders>
              <w:top w:val="nil"/>
              <w:bottom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n(%)</w:t>
            </w:r>
          </w:p>
        </w:tc>
        <w:tc>
          <w:tcPr>
            <w:tcW w:w="647" w:type="pct"/>
            <w:tcBorders>
              <w:top w:val="nil"/>
              <w:bottom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N</w:t>
            </w:r>
          </w:p>
        </w:tc>
      </w:tr>
      <w:tr w:rsidR="00932B23" w:rsidRPr="000D229D" w:rsidTr="00932B23">
        <w:trPr>
          <w:trHeight w:val="350"/>
          <w:jc w:val="center"/>
        </w:trPr>
        <w:tc>
          <w:tcPr>
            <w:tcW w:w="706" w:type="pct"/>
            <w:tcBorders>
              <w:top w:val="single" w:sz="4" w:space="0" w:color="auto"/>
              <w:bottom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 xml:space="preserve">Urban </w:t>
            </w:r>
          </w:p>
        </w:tc>
        <w:tc>
          <w:tcPr>
            <w:tcW w:w="562" w:type="pct"/>
            <w:tcBorders>
              <w:top w:val="single" w:sz="4" w:space="0" w:color="auto"/>
              <w:bottom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(34)</w:t>
            </w:r>
          </w:p>
        </w:tc>
        <w:tc>
          <w:tcPr>
            <w:tcW w:w="985" w:type="pct"/>
            <w:tcBorders>
              <w:top w:val="single" w:sz="4" w:space="0" w:color="auto"/>
              <w:bottom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 xml:space="preserve"> 13(38.2)</w:t>
            </w:r>
          </w:p>
        </w:tc>
        <w:tc>
          <w:tcPr>
            <w:tcW w:w="730" w:type="pct"/>
            <w:tcBorders>
              <w:top w:val="single" w:sz="4" w:space="0" w:color="auto"/>
              <w:bottom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 xml:space="preserve"> 6(17.6)</w:t>
            </w:r>
          </w:p>
        </w:tc>
        <w:tc>
          <w:tcPr>
            <w:tcW w:w="638" w:type="pct"/>
            <w:tcBorders>
              <w:top w:val="single" w:sz="4" w:space="0" w:color="auto"/>
              <w:bottom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 xml:space="preserve"> 14(41.2)</w:t>
            </w:r>
          </w:p>
        </w:tc>
        <w:tc>
          <w:tcPr>
            <w:tcW w:w="731" w:type="pct"/>
            <w:tcBorders>
              <w:top w:val="single" w:sz="4" w:space="0" w:color="auto"/>
              <w:bottom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 xml:space="preserve"> 1(2.9)</w:t>
            </w:r>
          </w:p>
        </w:tc>
        <w:tc>
          <w:tcPr>
            <w:tcW w:w="647" w:type="pct"/>
            <w:tcBorders>
              <w:top w:val="single" w:sz="4" w:space="0" w:color="auto"/>
              <w:bottom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34</w:t>
            </w:r>
          </w:p>
        </w:tc>
      </w:tr>
      <w:tr w:rsidR="00932B23" w:rsidRPr="000D229D" w:rsidTr="00932B23">
        <w:trPr>
          <w:trHeight w:val="350"/>
          <w:jc w:val="center"/>
        </w:trPr>
        <w:tc>
          <w:tcPr>
            <w:tcW w:w="706" w:type="pct"/>
            <w:tcBorders>
              <w:top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Rural</w:t>
            </w:r>
          </w:p>
        </w:tc>
        <w:tc>
          <w:tcPr>
            <w:tcW w:w="562" w:type="pct"/>
            <w:tcBorders>
              <w:top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(28)</w:t>
            </w:r>
          </w:p>
        </w:tc>
        <w:tc>
          <w:tcPr>
            <w:tcW w:w="985" w:type="pct"/>
            <w:tcBorders>
              <w:top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 xml:space="preserve"> 12(42.9)</w:t>
            </w:r>
          </w:p>
        </w:tc>
        <w:tc>
          <w:tcPr>
            <w:tcW w:w="730" w:type="pct"/>
            <w:tcBorders>
              <w:top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 xml:space="preserve"> 2(7.1)</w:t>
            </w:r>
          </w:p>
        </w:tc>
        <w:tc>
          <w:tcPr>
            <w:tcW w:w="638" w:type="pct"/>
            <w:tcBorders>
              <w:top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 xml:space="preserve"> 13(46.4)</w:t>
            </w:r>
          </w:p>
        </w:tc>
        <w:tc>
          <w:tcPr>
            <w:tcW w:w="731" w:type="pct"/>
            <w:tcBorders>
              <w:top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 xml:space="preserve"> 1(3.6)</w:t>
            </w:r>
          </w:p>
        </w:tc>
        <w:tc>
          <w:tcPr>
            <w:tcW w:w="647" w:type="pct"/>
            <w:tcBorders>
              <w:top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28</w:t>
            </w:r>
          </w:p>
        </w:tc>
      </w:tr>
      <w:tr w:rsidR="00932B23" w:rsidRPr="000D229D" w:rsidTr="00932B23">
        <w:trPr>
          <w:trHeight w:val="350"/>
          <w:jc w:val="center"/>
        </w:trPr>
        <w:tc>
          <w:tcPr>
            <w:tcW w:w="706"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Total</w:t>
            </w:r>
          </w:p>
        </w:tc>
        <w:tc>
          <w:tcPr>
            <w:tcW w:w="562"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(62)</w:t>
            </w:r>
          </w:p>
        </w:tc>
        <w:tc>
          <w:tcPr>
            <w:tcW w:w="985"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 xml:space="preserve"> 25(40.3)</w:t>
            </w:r>
          </w:p>
        </w:tc>
        <w:tc>
          <w:tcPr>
            <w:tcW w:w="730"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 xml:space="preserve"> 8(12.9)</w:t>
            </w:r>
          </w:p>
        </w:tc>
        <w:tc>
          <w:tcPr>
            <w:tcW w:w="638"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 xml:space="preserve"> 27(43.5)</w:t>
            </w:r>
          </w:p>
        </w:tc>
        <w:tc>
          <w:tcPr>
            <w:tcW w:w="731"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 xml:space="preserve"> 2(3.2)</w:t>
            </w:r>
          </w:p>
        </w:tc>
        <w:tc>
          <w:tcPr>
            <w:tcW w:w="647"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62</w:t>
            </w:r>
          </w:p>
        </w:tc>
      </w:tr>
    </w:tbl>
    <w:p w:rsidR="00932B23" w:rsidRPr="00596E60" w:rsidRDefault="00932B23" w:rsidP="00932B23">
      <w:pPr>
        <w:spacing w:after="0" w:line="240" w:lineRule="auto"/>
        <w:jc w:val="both"/>
        <w:rPr>
          <w:rFonts w:ascii="Times New Roman" w:hAnsi="Times New Roman" w:cs="Times New Roman"/>
          <w:sz w:val="18"/>
          <w:szCs w:val="18"/>
        </w:rPr>
      </w:pPr>
      <w:r w:rsidRPr="00596E60">
        <w:rPr>
          <w:rFonts w:ascii="Times New Roman" w:hAnsi="Times New Roman" w:cs="Times New Roman"/>
          <w:sz w:val="18"/>
          <w:szCs w:val="18"/>
        </w:rPr>
        <w:t>Key: Exclusive breastfeeding (Breast milk alone and no other food, liquid or water except</w:t>
      </w:r>
      <w:r>
        <w:rPr>
          <w:rFonts w:ascii="Times New Roman" w:hAnsi="Times New Roman" w:cs="Times New Roman"/>
          <w:sz w:val="18"/>
          <w:szCs w:val="18"/>
        </w:rPr>
        <w:t xml:space="preserve"> prescribed</w:t>
      </w:r>
      <w:r w:rsidRPr="00596E60">
        <w:rPr>
          <w:rFonts w:ascii="Times New Roman" w:hAnsi="Times New Roman" w:cs="Times New Roman"/>
          <w:sz w:val="18"/>
          <w:szCs w:val="18"/>
        </w:rPr>
        <w:t xml:space="preserve"> medication)</w:t>
      </w:r>
    </w:p>
    <w:p w:rsidR="00932B23" w:rsidRPr="00596E60" w:rsidRDefault="00932B23" w:rsidP="00932B23">
      <w:pPr>
        <w:spacing w:after="0" w:line="240" w:lineRule="auto"/>
        <w:jc w:val="both"/>
        <w:rPr>
          <w:rFonts w:ascii="Times New Roman" w:hAnsi="Times New Roman" w:cs="Times New Roman"/>
          <w:sz w:val="18"/>
          <w:szCs w:val="18"/>
        </w:rPr>
      </w:pPr>
      <w:r w:rsidRPr="00596E60">
        <w:rPr>
          <w:rFonts w:ascii="Times New Roman" w:hAnsi="Times New Roman" w:cs="Times New Roman"/>
          <w:sz w:val="18"/>
          <w:szCs w:val="18"/>
        </w:rPr>
        <w:t xml:space="preserve">        Predominant breastfeeding (Breast milk plus clear liquids, fruit juice, ritual liquids and water)</w:t>
      </w:r>
    </w:p>
    <w:p w:rsidR="00932B23" w:rsidRPr="00596E60" w:rsidRDefault="00932B23" w:rsidP="00932B2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596E60">
        <w:rPr>
          <w:rFonts w:ascii="Times New Roman" w:hAnsi="Times New Roman" w:cs="Times New Roman"/>
          <w:sz w:val="18"/>
          <w:szCs w:val="18"/>
        </w:rPr>
        <w:t xml:space="preserve"> Mixed feeding (Breast milk plus other foods including non human milk)</w:t>
      </w:r>
    </w:p>
    <w:p w:rsidR="00932B23" w:rsidRDefault="00932B23" w:rsidP="00932B23">
      <w:pPr>
        <w:spacing w:after="0"/>
        <w:jc w:val="both"/>
        <w:rPr>
          <w:rFonts w:ascii="Times New Roman" w:hAnsi="Times New Roman" w:cs="Times New Roman"/>
          <w:sz w:val="24"/>
          <w:szCs w:val="24"/>
        </w:rPr>
      </w:pPr>
    </w:p>
    <w:p w:rsidR="00932B23" w:rsidRDefault="00932B23" w:rsidP="000D229D">
      <w:pPr>
        <w:spacing w:after="0" w:line="360" w:lineRule="auto"/>
        <w:jc w:val="both"/>
        <w:rPr>
          <w:rFonts w:ascii="Times New Roman" w:hAnsi="Times New Roman" w:cs="Times New Roman"/>
          <w:sz w:val="24"/>
          <w:szCs w:val="24"/>
        </w:rPr>
      </w:pPr>
      <w:r w:rsidRPr="004F3487">
        <w:rPr>
          <w:rFonts w:ascii="Times New Roman" w:hAnsi="Times New Roman" w:cs="Times New Roman"/>
          <w:sz w:val="24"/>
          <w:szCs w:val="24"/>
        </w:rPr>
        <w:t>Results on breastfeeding of children 6-23 months</w:t>
      </w:r>
      <w:r>
        <w:rPr>
          <w:rFonts w:ascii="Times New Roman" w:hAnsi="Times New Roman" w:cs="Times New Roman"/>
          <w:sz w:val="24"/>
          <w:szCs w:val="24"/>
        </w:rPr>
        <w:t xml:space="preserve"> were presented as breastfed or not breastfed. </w:t>
      </w:r>
      <w:r w:rsidRPr="002C30B7">
        <w:rPr>
          <w:rFonts w:ascii="Times New Roman" w:hAnsi="Times New Roman" w:cs="Times New Roman"/>
          <w:sz w:val="24"/>
          <w:szCs w:val="24"/>
        </w:rPr>
        <w:t>Children 6-23 month</w:t>
      </w:r>
      <w:r>
        <w:rPr>
          <w:rFonts w:ascii="Times New Roman" w:hAnsi="Times New Roman" w:cs="Times New Roman"/>
          <w:sz w:val="24"/>
          <w:szCs w:val="24"/>
        </w:rPr>
        <w:t>s who received breast milk the previous day were 69.5</w:t>
      </w:r>
      <w:r w:rsidRPr="002C30B7">
        <w:rPr>
          <w:rFonts w:ascii="Times New Roman" w:hAnsi="Times New Roman" w:cs="Times New Roman"/>
          <w:sz w:val="24"/>
          <w:szCs w:val="24"/>
        </w:rPr>
        <w:t>% a</w:t>
      </w:r>
      <w:r>
        <w:rPr>
          <w:rFonts w:ascii="Times New Roman" w:hAnsi="Times New Roman" w:cs="Times New Roman"/>
          <w:sz w:val="24"/>
          <w:szCs w:val="24"/>
        </w:rPr>
        <w:t>nd those not breastfed were 30.5</w:t>
      </w:r>
      <w:r w:rsidRPr="002C30B7">
        <w:rPr>
          <w:rFonts w:ascii="Times New Roman" w:hAnsi="Times New Roman" w:cs="Times New Roman"/>
          <w:sz w:val="24"/>
          <w:szCs w:val="24"/>
        </w:rPr>
        <w:t>%.</w:t>
      </w:r>
      <w:r>
        <w:rPr>
          <w:rFonts w:ascii="Times New Roman" w:hAnsi="Times New Roman" w:cs="Times New Roman"/>
          <w:sz w:val="24"/>
          <w:szCs w:val="24"/>
        </w:rPr>
        <w:t xml:space="preserve"> There was a high significant difference χ</w:t>
      </w:r>
      <w:r w:rsidRPr="00EA129F">
        <w:rPr>
          <w:rFonts w:ascii="Times New Roman" w:hAnsi="Times New Roman" w:cs="Times New Roman"/>
          <w:sz w:val="24"/>
          <w:szCs w:val="24"/>
          <w:vertAlign w:val="superscript"/>
        </w:rPr>
        <w:t>2</w:t>
      </w:r>
      <w:r>
        <w:rPr>
          <w:rFonts w:ascii="Times New Roman" w:hAnsi="Times New Roman" w:cs="Times New Roman"/>
          <w:sz w:val="24"/>
          <w:szCs w:val="24"/>
        </w:rPr>
        <w:t xml:space="preserve"> (p=&lt;0.001) between children who were being breastfed in urban and rural with more children in the urban having been   breastfed the previous day</w:t>
      </w:r>
      <w:r w:rsidR="00047CA2">
        <w:rPr>
          <w:rFonts w:ascii="Times New Roman" w:hAnsi="Times New Roman" w:cs="Times New Roman"/>
          <w:sz w:val="24"/>
          <w:szCs w:val="24"/>
        </w:rPr>
        <w:t xml:space="preserve"> than rural areas. See Table 3</w:t>
      </w:r>
    </w:p>
    <w:p w:rsidR="00932B23" w:rsidRDefault="00932B23" w:rsidP="00932B23">
      <w:pPr>
        <w:spacing w:after="0"/>
        <w:jc w:val="both"/>
        <w:rPr>
          <w:rFonts w:ascii="Times New Roman" w:hAnsi="Times New Roman" w:cs="Times New Roman"/>
          <w:sz w:val="24"/>
          <w:szCs w:val="24"/>
        </w:rPr>
      </w:pPr>
    </w:p>
    <w:p w:rsidR="00932B23" w:rsidRPr="00DB18AE" w:rsidRDefault="00932B23" w:rsidP="00932B23">
      <w:pPr>
        <w:pStyle w:val="Heading4"/>
        <w:spacing w:before="0" w:line="480" w:lineRule="auto"/>
        <w:rPr>
          <w:rFonts w:ascii="Times New Roman" w:hAnsi="Times New Roman" w:cs="Times New Roman"/>
          <w:i w:val="0"/>
          <w:color w:val="auto"/>
          <w:sz w:val="24"/>
          <w:szCs w:val="24"/>
        </w:rPr>
      </w:pPr>
      <w:bookmarkStart w:id="6" w:name="_Toc5363710"/>
      <w:bookmarkStart w:id="7" w:name="_Toc14839546"/>
      <w:r>
        <w:rPr>
          <w:rFonts w:ascii="Times New Roman" w:hAnsi="Times New Roman" w:cs="Times New Roman"/>
          <w:i w:val="0"/>
          <w:color w:val="auto"/>
          <w:sz w:val="24"/>
          <w:szCs w:val="24"/>
        </w:rPr>
        <w:t>Table 3</w:t>
      </w:r>
      <w:r w:rsidRPr="00DB18AE">
        <w:rPr>
          <w:rFonts w:ascii="Times New Roman" w:hAnsi="Times New Roman" w:cs="Times New Roman"/>
          <w:i w:val="0"/>
          <w:color w:val="auto"/>
          <w:sz w:val="24"/>
          <w:szCs w:val="24"/>
        </w:rPr>
        <w:t xml:space="preserve">: Breastfeeding for children </w:t>
      </w:r>
      <w:r>
        <w:rPr>
          <w:rFonts w:ascii="Times New Roman" w:hAnsi="Times New Roman" w:cs="Times New Roman"/>
          <w:i w:val="0"/>
          <w:color w:val="auto"/>
          <w:sz w:val="24"/>
          <w:szCs w:val="24"/>
        </w:rPr>
        <w:t>6 – 23</w:t>
      </w:r>
      <w:r w:rsidRPr="00DB18AE">
        <w:rPr>
          <w:rFonts w:ascii="Times New Roman" w:hAnsi="Times New Roman" w:cs="Times New Roman"/>
          <w:i w:val="0"/>
          <w:color w:val="auto"/>
          <w:sz w:val="24"/>
          <w:szCs w:val="24"/>
        </w:rPr>
        <w:t xml:space="preserve"> months</w:t>
      </w:r>
      <w:bookmarkEnd w:id="6"/>
      <w:bookmarkEnd w:id="7"/>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1268"/>
        <w:gridCol w:w="2338"/>
        <w:gridCol w:w="2070"/>
        <w:gridCol w:w="2628"/>
      </w:tblGrid>
      <w:tr w:rsidR="00932B23" w:rsidRPr="000D229D" w:rsidTr="00932B23">
        <w:tc>
          <w:tcPr>
            <w:tcW w:w="664" w:type="pct"/>
            <w:vMerge w:val="restart"/>
            <w:tcBorders>
              <w:top w:val="single" w:sz="4" w:space="0" w:color="auto"/>
              <w:bottom w:val="nil"/>
            </w:tcBorders>
          </w:tcPr>
          <w:p w:rsidR="00932B23" w:rsidRPr="000D229D" w:rsidRDefault="00932B23" w:rsidP="00932B23">
            <w:pPr>
              <w:rPr>
                <w:rFonts w:ascii="Times New Roman" w:hAnsi="Times New Roman" w:cs="Times New Roman"/>
                <w:sz w:val="20"/>
                <w:szCs w:val="20"/>
              </w:rPr>
            </w:pPr>
            <w:r w:rsidRPr="000D229D">
              <w:rPr>
                <w:rFonts w:ascii="Times New Roman" w:hAnsi="Times New Roman" w:cs="Times New Roman"/>
                <w:sz w:val="20"/>
                <w:szCs w:val="20"/>
              </w:rPr>
              <w:t>Residence</w:t>
            </w:r>
          </w:p>
        </w:tc>
        <w:tc>
          <w:tcPr>
            <w:tcW w:w="662" w:type="pct"/>
            <w:vMerge w:val="restart"/>
            <w:tcBorders>
              <w:top w:val="single" w:sz="4" w:space="0" w:color="auto"/>
              <w:bottom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Childs age </w:t>
            </w:r>
          </w:p>
          <w:p w:rsidR="00932B23" w:rsidRPr="000D229D" w:rsidRDefault="00932B23" w:rsidP="00932B23">
            <w:pPr>
              <w:jc w:val="center"/>
              <w:rPr>
                <w:rFonts w:ascii="Times New Roman" w:hAnsi="Times New Roman" w:cs="Times New Roman"/>
                <w:sz w:val="20"/>
                <w:szCs w:val="20"/>
              </w:rPr>
            </w:pPr>
          </w:p>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6-23 months</w:t>
            </w:r>
          </w:p>
        </w:tc>
        <w:tc>
          <w:tcPr>
            <w:tcW w:w="2302" w:type="pct"/>
            <w:gridSpan w:val="2"/>
            <w:tcBorders>
              <w:top w:val="single" w:sz="4" w:space="0" w:color="auto"/>
              <w:bottom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Breastfeeding</w:t>
            </w:r>
          </w:p>
          <w:p w:rsidR="00932B23" w:rsidRPr="000D229D" w:rsidRDefault="00932B23" w:rsidP="00932B23">
            <w:pPr>
              <w:jc w:val="center"/>
              <w:rPr>
                <w:rFonts w:ascii="Times New Roman" w:hAnsi="Times New Roman" w:cs="Times New Roman"/>
                <w:sz w:val="20"/>
                <w:szCs w:val="20"/>
              </w:rPr>
            </w:pPr>
          </w:p>
        </w:tc>
        <w:tc>
          <w:tcPr>
            <w:tcW w:w="1372" w:type="pct"/>
            <w:tcBorders>
              <w:top w:val="single" w:sz="4" w:space="0" w:color="auto"/>
              <w:bottom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Chi  square results </w:t>
            </w:r>
          </w:p>
          <w:p w:rsidR="00932B23" w:rsidRPr="000D229D" w:rsidRDefault="00932B23" w:rsidP="00932B23">
            <w:pPr>
              <w:rPr>
                <w:rFonts w:ascii="Times New Roman" w:hAnsi="Times New Roman" w:cs="Times New Roman"/>
                <w:sz w:val="20"/>
                <w:szCs w:val="20"/>
              </w:rPr>
            </w:pPr>
          </w:p>
        </w:tc>
      </w:tr>
      <w:tr w:rsidR="00932B23" w:rsidRPr="000D229D" w:rsidTr="00932B23">
        <w:tc>
          <w:tcPr>
            <w:tcW w:w="664" w:type="pct"/>
            <w:vMerge/>
            <w:tcBorders>
              <w:top w:val="nil"/>
              <w:bottom w:val="single" w:sz="4" w:space="0" w:color="auto"/>
            </w:tcBorders>
          </w:tcPr>
          <w:p w:rsidR="00932B23" w:rsidRPr="000D229D" w:rsidRDefault="00932B23" w:rsidP="00932B23">
            <w:pPr>
              <w:rPr>
                <w:rFonts w:ascii="Times New Roman" w:hAnsi="Times New Roman" w:cs="Times New Roman"/>
                <w:sz w:val="20"/>
                <w:szCs w:val="20"/>
              </w:rPr>
            </w:pPr>
          </w:p>
        </w:tc>
        <w:tc>
          <w:tcPr>
            <w:tcW w:w="662" w:type="pct"/>
            <w:vMerge/>
            <w:tcBorders>
              <w:top w:val="nil"/>
              <w:bottom w:val="single" w:sz="4" w:space="0" w:color="auto"/>
            </w:tcBorders>
          </w:tcPr>
          <w:p w:rsidR="00932B23" w:rsidRPr="000D229D" w:rsidRDefault="00932B23" w:rsidP="00932B23">
            <w:pPr>
              <w:jc w:val="center"/>
              <w:rPr>
                <w:rFonts w:ascii="Times New Roman" w:hAnsi="Times New Roman" w:cs="Times New Roman"/>
                <w:sz w:val="20"/>
                <w:szCs w:val="20"/>
              </w:rPr>
            </w:pPr>
          </w:p>
        </w:tc>
        <w:tc>
          <w:tcPr>
            <w:tcW w:w="1221" w:type="pct"/>
            <w:tcBorders>
              <w:top w:val="nil"/>
              <w:bottom w:val="single" w:sz="4" w:space="0" w:color="auto"/>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Breastfeeding</w:t>
            </w:r>
          </w:p>
        </w:tc>
        <w:tc>
          <w:tcPr>
            <w:tcW w:w="1081" w:type="pct"/>
            <w:tcBorders>
              <w:top w:val="nil"/>
              <w:bottom w:val="single" w:sz="4" w:space="0" w:color="auto"/>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Not breastfeeding</w:t>
            </w:r>
          </w:p>
        </w:tc>
        <w:tc>
          <w:tcPr>
            <w:tcW w:w="1372" w:type="pct"/>
            <w:tcBorders>
              <w:top w:val="nil"/>
              <w:bottom w:val="single" w:sz="4" w:space="0" w:color="auto"/>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P value =0.05</w:t>
            </w:r>
          </w:p>
        </w:tc>
      </w:tr>
      <w:tr w:rsidR="00932B23" w:rsidRPr="000D229D" w:rsidTr="00932B23">
        <w:tc>
          <w:tcPr>
            <w:tcW w:w="664" w:type="pct"/>
            <w:tcBorders>
              <w:top w:val="single" w:sz="4" w:space="0" w:color="auto"/>
            </w:tcBorders>
          </w:tcPr>
          <w:p w:rsidR="00932B23" w:rsidRPr="000D229D" w:rsidRDefault="00932B23" w:rsidP="00932B23">
            <w:pPr>
              <w:rPr>
                <w:rFonts w:ascii="Times New Roman" w:hAnsi="Times New Roman" w:cs="Times New Roman"/>
                <w:sz w:val="20"/>
                <w:szCs w:val="20"/>
              </w:rPr>
            </w:pPr>
          </w:p>
        </w:tc>
        <w:tc>
          <w:tcPr>
            <w:tcW w:w="662" w:type="pct"/>
            <w:tcBorders>
              <w:top w:val="single" w:sz="4" w:space="0" w:color="auto"/>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w:t>
            </w:r>
          </w:p>
        </w:tc>
        <w:tc>
          <w:tcPr>
            <w:tcW w:w="1221" w:type="pct"/>
            <w:tcBorders>
              <w:top w:val="single" w:sz="4" w:space="0" w:color="auto"/>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n (%) </w:t>
            </w:r>
          </w:p>
        </w:tc>
        <w:tc>
          <w:tcPr>
            <w:tcW w:w="1081" w:type="pct"/>
            <w:tcBorders>
              <w:top w:val="single" w:sz="4" w:space="0" w:color="auto"/>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 (%)</w:t>
            </w:r>
          </w:p>
        </w:tc>
        <w:tc>
          <w:tcPr>
            <w:tcW w:w="1372" w:type="pct"/>
            <w:tcBorders>
              <w:top w:val="single" w:sz="4" w:space="0" w:color="auto"/>
            </w:tcBorders>
          </w:tcPr>
          <w:p w:rsidR="00932B23" w:rsidRPr="000D229D" w:rsidRDefault="00932B23" w:rsidP="00932B23">
            <w:pPr>
              <w:jc w:val="center"/>
              <w:rPr>
                <w:rFonts w:ascii="Times New Roman" w:hAnsi="Times New Roman" w:cs="Times New Roman"/>
                <w:sz w:val="20"/>
                <w:szCs w:val="20"/>
              </w:rPr>
            </w:pPr>
          </w:p>
        </w:tc>
      </w:tr>
      <w:tr w:rsidR="00932B23" w:rsidRPr="000D229D" w:rsidTr="00932B23">
        <w:tc>
          <w:tcPr>
            <w:tcW w:w="664" w:type="pct"/>
          </w:tcPr>
          <w:p w:rsidR="00932B23" w:rsidRPr="000D229D" w:rsidRDefault="00932B23" w:rsidP="00932B23">
            <w:pPr>
              <w:rPr>
                <w:rFonts w:ascii="Times New Roman" w:hAnsi="Times New Roman" w:cs="Times New Roman"/>
                <w:sz w:val="20"/>
                <w:szCs w:val="20"/>
              </w:rPr>
            </w:pPr>
            <w:r w:rsidRPr="000D229D">
              <w:rPr>
                <w:rFonts w:ascii="Times New Roman" w:hAnsi="Times New Roman" w:cs="Times New Roman"/>
                <w:sz w:val="20"/>
                <w:szCs w:val="20"/>
              </w:rPr>
              <w:t>Urban</w:t>
            </w:r>
          </w:p>
        </w:tc>
        <w:tc>
          <w:tcPr>
            <w:tcW w:w="662"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(215)</w:t>
            </w:r>
          </w:p>
        </w:tc>
        <w:tc>
          <w:tcPr>
            <w:tcW w:w="1221"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131(72.4)</w:t>
            </w:r>
          </w:p>
        </w:tc>
        <w:tc>
          <w:tcPr>
            <w:tcW w:w="1081"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50(27.6)</w:t>
            </w:r>
          </w:p>
        </w:tc>
        <w:tc>
          <w:tcPr>
            <w:tcW w:w="1372"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b/>
                <w:sz w:val="20"/>
                <w:szCs w:val="20"/>
              </w:rPr>
              <w:t>0.001*</w:t>
            </w:r>
          </w:p>
        </w:tc>
      </w:tr>
      <w:tr w:rsidR="00932B23" w:rsidRPr="000D229D" w:rsidTr="00932B23">
        <w:tc>
          <w:tcPr>
            <w:tcW w:w="664" w:type="pct"/>
          </w:tcPr>
          <w:p w:rsidR="00932B23" w:rsidRPr="000D229D" w:rsidRDefault="00932B23" w:rsidP="00932B23">
            <w:pPr>
              <w:rPr>
                <w:rFonts w:ascii="Times New Roman" w:hAnsi="Times New Roman" w:cs="Times New Roman"/>
                <w:sz w:val="20"/>
                <w:szCs w:val="20"/>
              </w:rPr>
            </w:pPr>
            <w:r w:rsidRPr="000D229D">
              <w:rPr>
                <w:rFonts w:ascii="Times New Roman" w:hAnsi="Times New Roman" w:cs="Times New Roman"/>
                <w:sz w:val="20"/>
                <w:szCs w:val="20"/>
              </w:rPr>
              <w:t>Rural</w:t>
            </w:r>
          </w:p>
        </w:tc>
        <w:tc>
          <w:tcPr>
            <w:tcW w:w="662"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(116)</w:t>
            </w:r>
          </w:p>
        </w:tc>
        <w:tc>
          <w:tcPr>
            <w:tcW w:w="1221"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56(63.5)</w:t>
            </w:r>
          </w:p>
        </w:tc>
        <w:tc>
          <w:tcPr>
            <w:tcW w:w="1081"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32 (36.4)</w:t>
            </w:r>
          </w:p>
        </w:tc>
        <w:tc>
          <w:tcPr>
            <w:tcW w:w="1372" w:type="pct"/>
          </w:tcPr>
          <w:p w:rsidR="00932B23" w:rsidRPr="000D229D" w:rsidRDefault="00932B23" w:rsidP="00932B23">
            <w:pPr>
              <w:jc w:val="center"/>
              <w:rPr>
                <w:rFonts w:ascii="Times New Roman" w:hAnsi="Times New Roman" w:cs="Times New Roman"/>
                <w:sz w:val="20"/>
                <w:szCs w:val="20"/>
              </w:rPr>
            </w:pPr>
          </w:p>
        </w:tc>
      </w:tr>
      <w:tr w:rsidR="00932B23" w:rsidRPr="000D229D" w:rsidTr="00932B23">
        <w:tc>
          <w:tcPr>
            <w:tcW w:w="664" w:type="pct"/>
          </w:tcPr>
          <w:p w:rsidR="00932B23" w:rsidRPr="000D229D" w:rsidRDefault="00932B23" w:rsidP="00932B23">
            <w:pPr>
              <w:rPr>
                <w:rFonts w:ascii="Times New Roman" w:hAnsi="Times New Roman" w:cs="Times New Roman"/>
                <w:sz w:val="20"/>
                <w:szCs w:val="20"/>
              </w:rPr>
            </w:pPr>
            <w:r w:rsidRPr="000D229D">
              <w:rPr>
                <w:rFonts w:ascii="Times New Roman" w:hAnsi="Times New Roman" w:cs="Times New Roman"/>
                <w:sz w:val="20"/>
                <w:szCs w:val="20"/>
              </w:rPr>
              <w:t>Total</w:t>
            </w:r>
          </w:p>
        </w:tc>
        <w:tc>
          <w:tcPr>
            <w:tcW w:w="662"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(331)</w:t>
            </w:r>
          </w:p>
        </w:tc>
        <w:tc>
          <w:tcPr>
            <w:tcW w:w="1221"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187(69.5)</w:t>
            </w:r>
          </w:p>
        </w:tc>
        <w:tc>
          <w:tcPr>
            <w:tcW w:w="1081"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82 (30.5)</w:t>
            </w:r>
          </w:p>
        </w:tc>
        <w:tc>
          <w:tcPr>
            <w:tcW w:w="1372" w:type="pct"/>
          </w:tcPr>
          <w:p w:rsidR="00932B23" w:rsidRPr="000D229D" w:rsidRDefault="00932B23" w:rsidP="00932B23">
            <w:pPr>
              <w:jc w:val="center"/>
              <w:rPr>
                <w:rFonts w:ascii="Times New Roman" w:hAnsi="Times New Roman" w:cs="Times New Roman"/>
                <w:b/>
                <w:sz w:val="20"/>
                <w:szCs w:val="20"/>
              </w:rPr>
            </w:pPr>
          </w:p>
        </w:tc>
      </w:tr>
    </w:tbl>
    <w:p w:rsidR="00932B23" w:rsidRPr="007F65C5" w:rsidRDefault="00932B23" w:rsidP="00932B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Pr="007F65C5">
        <w:rPr>
          <w:rFonts w:ascii="Times New Roman" w:hAnsi="Times New Roman" w:cs="Times New Roman"/>
          <w:sz w:val="24"/>
          <w:szCs w:val="24"/>
        </w:rPr>
        <w:t>Significant value</w:t>
      </w:r>
    </w:p>
    <w:p w:rsidR="00932B23" w:rsidRDefault="00932B23" w:rsidP="000D229D">
      <w:pPr>
        <w:spacing w:after="0" w:line="360" w:lineRule="auto"/>
        <w:jc w:val="both"/>
        <w:rPr>
          <w:rFonts w:ascii="Times New Roman" w:hAnsi="Times New Roman" w:cs="Times New Roman"/>
          <w:sz w:val="24"/>
          <w:szCs w:val="24"/>
        </w:rPr>
      </w:pPr>
      <w:r w:rsidRPr="00990753">
        <w:rPr>
          <w:rFonts w:ascii="Times New Roman" w:hAnsi="Times New Roman" w:cs="Times New Roman"/>
          <w:sz w:val="24"/>
          <w:szCs w:val="24"/>
        </w:rPr>
        <w:t xml:space="preserve">WHO guidelines on assessing infant and </w:t>
      </w:r>
      <w:r w:rsidR="00C40A7A">
        <w:rPr>
          <w:rFonts w:ascii="Times New Roman" w:hAnsi="Times New Roman" w:cs="Times New Roman"/>
          <w:sz w:val="24"/>
          <w:szCs w:val="24"/>
        </w:rPr>
        <w:t>young child feeding, recommends</w:t>
      </w:r>
      <w:r w:rsidRPr="00990753">
        <w:rPr>
          <w:rFonts w:ascii="Times New Roman" w:hAnsi="Times New Roman" w:cs="Times New Roman"/>
          <w:sz w:val="24"/>
          <w:szCs w:val="24"/>
        </w:rPr>
        <w:t xml:space="preserve"> seven food grou</w:t>
      </w:r>
      <w:r>
        <w:rPr>
          <w:rFonts w:ascii="Times New Roman" w:hAnsi="Times New Roman" w:cs="Times New Roman"/>
          <w:sz w:val="24"/>
          <w:szCs w:val="24"/>
        </w:rPr>
        <w:t>ps from which a child should measured against</w:t>
      </w:r>
      <w:r w:rsidRPr="00990753">
        <w:rPr>
          <w:rFonts w:ascii="Times New Roman" w:hAnsi="Times New Roman" w:cs="Times New Roman"/>
          <w:sz w:val="24"/>
          <w:szCs w:val="24"/>
        </w:rPr>
        <w:t>. A child is expected to eat a minimum of four food groups to achieve minimum acceptable nutrient diversity</w:t>
      </w:r>
      <w:r>
        <w:rPr>
          <w:rFonts w:ascii="Times New Roman" w:hAnsi="Times New Roman" w:cs="Times New Roman"/>
          <w:color w:val="FF0000"/>
          <w:sz w:val="24"/>
          <w:szCs w:val="24"/>
        </w:rPr>
        <w:t xml:space="preserve">. </w:t>
      </w:r>
      <w:r>
        <w:rPr>
          <w:rFonts w:ascii="Times New Roman" w:hAnsi="Times New Roman" w:cs="Times New Roman"/>
          <w:sz w:val="24"/>
          <w:szCs w:val="24"/>
        </w:rPr>
        <w:t>The individual foods are grouped into 7 groups namely carbohydrate sources (grains, roots and tubers), legumes and</w:t>
      </w:r>
      <w:r w:rsidRPr="008D2F82">
        <w:rPr>
          <w:rFonts w:ascii="Times New Roman" w:hAnsi="Times New Roman" w:cs="Times New Roman"/>
          <w:sz w:val="24"/>
          <w:szCs w:val="24"/>
        </w:rPr>
        <w:t xml:space="preserve"> nuts, </w:t>
      </w:r>
      <w:r>
        <w:rPr>
          <w:rFonts w:ascii="Times New Roman" w:hAnsi="Times New Roman" w:cs="Times New Roman"/>
          <w:sz w:val="24"/>
          <w:szCs w:val="24"/>
        </w:rPr>
        <w:t>m</w:t>
      </w:r>
      <w:r w:rsidRPr="008D2F82">
        <w:rPr>
          <w:rFonts w:ascii="Times New Roman" w:hAnsi="Times New Roman" w:cs="Times New Roman"/>
          <w:sz w:val="24"/>
          <w:szCs w:val="24"/>
        </w:rPr>
        <w:t>ilks and milk products</w:t>
      </w:r>
      <w:r>
        <w:rPr>
          <w:rFonts w:ascii="Times New Roman" w:hAnsi="Times New Roman" w:cs="Times New Roman"/>
          <w:sz w:val="24"/>
          <w:szCs w:val="24"/>
        </w:rPr>
        <w:t xml:space="preserve"> (cheese, yoghurt, traditionally fermented milks)</w:t>
      </w:r>
      <w:r w:rsidRPr="008D2F82">
        <w:rPr>
          <w:rFonts w:ascii="Times New Roman" w:hAnsi="Times New Roman" w:cs="Times New Roman"/>
          <w:sz w:val="24"/>
          <w:szCs w:val="24"/>
        </w:rPr>
        <w:t xml:space="preserve">, </w:t>
      </w:r>
      <w:r>
        <w:rPr>
          <w:rFonts w:ascii="Times New Roman" w:hAnsi="Times New Roman" w:cs="Times New Roman"/>
          <w:sz w:val="24"/>
          <w:szCs w:val="24"/>
        </w:rPr>
        <w:t>f</w:t>
      </w:r>
      <w:r w:rsidRPr="008D2F82">
        <w:rPr>
          <w:rFonts w:ascii="Times New Roman" w:hAnsi="Times New Roman" w:cs="Times New Roman"/>
          <w:sz w:val="24"/>
          <w:szCs w:val="24"/>
        </w:rPr>
        <w:t xml:space="preserve">lesh foods, </w:t>
      </w:r>
      <w:r>
        <w:rPr>
          <w:rFonts w:ascii="Times New Roman" w:hAnsi="Times New Roman" w:cs="Times New Roman"/>
          <w:sz w:val="24"/>
          <w:szCs w:val="24"/>
        </w:rPr>
        <w:t>e</w:t>
      </w:r>
      <w:r w:rsidRPr="008D2F82">
        <w:rPr>
          <w:rFonts w:ascii="Times New Roman" w:hAnsi="Times New Roman" w:cs="Times New Roman"/>
          <w:sz w:val="24"/>
          <w:szCs w:val="24"/>
        </w:rPr>
        <w:t xml:space="preserve">ggs, </w:t>
      </w:r>
      <w:r>
        <w:rPr>
          <w:rFonts w:ascii="Times New Roman" w:hAnsi="Times New Roman" w:cs="Times New Roman"/>
          <w:sz w:val="24"/>
          <w:szCs w:val="24"/>
        </w:rPr>
        <w:t>v</w:t>
      </w:r>
      <w:r w:rsidRPr="008D2F82">
        <w:rPr>
          <w:rFonts w:ascii="Times New Roman" w:hAnsi="Times New Roman" w:cs="Times New Roman"/>
          <w:sz w:val="24"/>
          <w:szCs w:val="24"/>
        </w:rPr>
        <w:t>itamin A rich foods</w:t>
      </w:r>
      <w:r>
        <w:rPr>
          <w:rFonts w:ascii="Times New Roman" w:hAnsi="Times New Roman" w:cs="Times New Roman"/>
          <w:sz w:val="24"/>
          <w:szCs w:val="24"/>
        </w:rPr>
        <w:t xml:space="preserve"> (yellow fleshed foods)</w:t>
      </w:r>
      <w:r w:rsidRPr="008D2F82">
        <w:rPr>
          <w:rFonts w:ascii="Times New Roman" w:hAnsi="Times New Roman" w:cs="Times New Roman"/>
          <w:sz w:val="24"/>
          <w:szCs w:val="24"/>
        </w:rPr>
        <w:t xml:space="preserve">, </w:t>
      </w:r>
      <w:r>
        <w:rPr>
          <w:rFonts w:ascii="Times New Roman" w:hAnsi="Times New Roman" w:cs="Times New Roman"/>
          <w:sz w:val="24"/>
          <w:szCs w:val="24"/>
        </w:rPr>
        <w:t>and f</w:t>
      </w:r>
      <w:r w:rsidRPr="008D2F82">
        <w:rPr>
          <w:rFonts w:ascii="Times New Roman" w:hAnsi="Times New Roman" w:cs="Times New Roman"/>
          <w:sz w:val="24"/>
          <w:szCs w:val="24"/>
        </w:rPr>
        <w:t>ruits and vegetables</w:t>
      </w:r>
      <w:r>
        <w:rPr>
          <w:rFonts w:ascii="Times New Roman" w:hAnsi="Times New Roman" w:cs="Times New Roman"/>
          <w:sz w:val="24"/>
          <w:szCs w:val="24"/>
        </w:rPr>
        <w:t xml:space="preserve">. The results show the proportion of </w:t>
      </w:r>
      <w:r>
        <w:rPr>
          <w:rFonts w:ascii="Times New Roman" w:hAnsi="Times New Roman" w:cs="Times New Roman"/>
          <w:sz w:val="24"/>
          <w:szCs w:val="24"/>
        </w:rPr>
        <w:lastRenderedPageBreak/>
        <w:t>children who ate from each food group. Carbohydrates foods were eaten most in urban at 97.2%/n=196 and rural 94.3%/n=83. Eggs were eaten least with 7.2% urban and 12.5% rural. There was no differences in consumption of all food groups between urban and rural children except intake of vitamin A rich foods</w:t>
      </w:r>
      <w:r w:rsidRPr="00150419">
        <w:rPr>
          <w:rFonts w:ascii="Times New Roman" w:hAnsi="Times New Roman" w:cs="Times New Roman"/>
          <w:sz w:val="24"/>
          <w:szCs w:val="24"/>
        </w:rPr>
        <w:t xml:space="preserve"> </w:t>
      </w:r>
      <w:r>
        <w:rPr>
          <w:rFonts w:ascii="Times New Roman" w:hAnsi="Times New Roman" w:cs="Times New Roman"/>
          <w:sz w:val="24"/>
          <w:szCs w:val="24"/>
        </w:rPr>
        <w:t>with a significant difference χ</w:t>
      </w:r>
      <w:r w:rsidRPr="00EA129F">
        <w:rPr>
          <w:rFonts w:ascii="Times New Roman" w:hAnsi="Times New Roman" w:cs="Times New Roman"/>
          <w:sz w:val="24"/>
          <w:szCs w:val="24"/>
          <w:vertAlign w:val="superscript"/>
        </w:rPr>
        <w:t>2</w:t>
      </w:r>
      <w:r>
        <w:rPr>
          <w:rFonts w:ascii="Times New Roman" w:hAnsi="Times New Roman" w:cs="Times New Roman"/>
          <w:sz w:val="24"/>
          <w:szCs w:val="24"/>
        </w:rPr>
        <w:t xml:space="preserve"> (p=0.001). Vitamin A rich foods were eaten more in the </w:t>
      </w:r>
      <w:r w:rsidRPr="002C30B7">
        <w:rPr>
          <w:rFonts w:ascii="Times New Roman" w:hAnsi="Times New Roman" w:cs="Times New Roman"/>
          <w:sz w:val="24"/>
          <w:szCs w:val="24"/>
        </w:rPr>
        <w:t>rural area</w:t>
      </w:r>
      <w:r>
        <w:rPr>
          <w:rFonts w:ascii="Times New Roman" w:hAnsi="Times New Roman" w:cs="Times New Roman"/>
          <w:sz w:val="24"/>
          <w:szCs w:val="24"/>
        </w:rPr>
        <w:t xml:space="preserve">s compared to urban areas at 14.4%. See </w:t>
      </w:r>
      <w:r w:rsidR="00047CA2">
        <w:rPr>
          <w:rFonts w:ascii="Times New Roman" w:hAnsi="Times New Roman" w:cs="Times New Roman"/>
          <w:sz w:val="24"/>
          <w:szCs w:val="24"/>
        </w:rPr>
        <w:t>Table 4</w:t>
      </w:r>
    </w:p>
    <w:p w:rsidR="00932B23" w:rsidRDefault="00932B23" w:rsidP="00711048">
      <w:pPr>
        <w:spacing w:after="0" w:line="360" w:lineRule="auto"/>
        <w:jc w:val="both"/>
        <w:rPr>
          <w:rFonts w:ascii="Times New Roman" w:hAnsi="Times New Roman" w:cs="Times New Roman"/>
          <w:sz w:val="24"/>
          <w:szCs w:val="24"/>
        </w:rPr>
      </w:pPr>
    </w:p>
    <w:p w:rsidR="00932B23" w:rsidRPr="00DB18AE" w:rsidRDefault="00932B23" w:rsidP="00932B23">
      <w:pPr>
        <w:pStyle w:val="Heading4"/>
        <w:spacing w:before="0" w:after="240"/>
        <w:rPr>
          <w:rFonts w:ascii="Times New Roman" w:hAnsi="Times New Roman" w:cs="Times New Roman"/>
          <w:i w:val="0"/>
          <w:color w:val="auto"/>
          <w:sz w:val="24"/>
          <w:szCs w:val="24"/>
        </w:rPr>
      </w:pPr>
      <w:bookmarkStart w:id="8" w:name="_Toc5363711"/>
      <w:bookmarkStart w:id="9" w:name="_Toc14839547"/>
      <w:r>
        <w:rPr>
          <w:rFonts w:ascii="Times New Roman" w:hAnsi="Times New Roman" w:cs="Times New Roman"/>
          <w:i w:val="0"/>
          <w:color w:val="auto"/>
          <w:sz w:val="24"/>
          <w:szCs w:val="24"/>
        </w:rPr>
        <w:t>Table 4</w:t>
      </w:r>
      <w:r w:rsidRPr="00DB18AE">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Individual f</w:t>
      </w:r>
      <w:r w:rsidRPr="00DB18AE">
        <w:rPr>
          <w:rFonts w:ascii="Times New Roman" w:hAnsi="Times New Roman" w:cs="Times New Roman"/>
          <w:i w:val="0"/>
          <w:color w:val="auto"/>
          <w:sz w:val="24"/>
          <w:szCs w:val="24"/>
        </w:rPr>
        <w:t>ood groups consumed by children 6-23 months</w:t>
      </w:r>
      <w:bookmarkEnd w:id="8"/>
      <w:bookmarkEnd w:id="9"/>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1350"/>
        <w:gridCol w:w="2031"/>
        <w:gridCol w:w="1870"/>
        <w:gridCol w:w="1640"/>
      </w:tblGrid>
      <w:tr w:rsidR="00932B23" w:rsidRPr="000D229D" w:rsidTr="00932B23">
        <w:tc>
          <w:tcPr>
            <w:tcW w:w="2685" w:type="dxa"/>
            <w:tcBorders>
              <w:bottom w:val="single" w:sz="4" w:space="0" w:color="auto"/>
            </w:tcBorders>
          </w:tcPr>
          <w:p w:rsidR="00932B23" w:rsidRPr="000D229D" w:rsidRDefault="00932B23" w:rsidP="00932B23">
            <w:pPr>
              <w:jc w:val="both"/>
              <w:rPr>
                <w:rFonts w:ascii="Times New Roman" w:hAnsi="Times New Roman" w:cs="Times New Roman"/>
                <w:sz w:val="20"/>
                <w:szCs w:val="20"/>
              </w:rPr>
            </w:pPr>
            <w:r w:rsidRPr="000D229D">
              <w:rPr>
                <w:rFonts w:ascii="Times New Roman" w:hAnsi="Times New Roman" w:cs="Times New Roman"/>
                <w:sz w:val="20"/>
                <w:szCs w:val="20"/>
              </w:rPr>
              <w:t xml:space="preserve">  Individual food groups</w:t>
            </w:r>
          </w:p>
        </w:tc>
        <w:tc>
          <w:tcPr>
            <w:tcW w:w="1350" w:type="dxa"/>
            <w:tcBorders>
              <w:bottom w:val="single" w:sz="4" w:space="0" w:color="auto"/>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Response </w:t>
            </w:r>
          </w:p>
        </w:tc>
        <w:tc>
          <w:tcPr>
            <w:tcW w:w="2031" w:type="dxa"/>
            <w:tcBorders>
              <w:bottom w:val="single" w:sz="4" w:space="0" w:color="auto"/>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Urban</w:t>
            </w:r>
          </w:p>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 =181</w:t>
            </w:r>
          </w:p>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w:t>
            </w:r>
          </w:p>
        </w:tc>
        <w:tc>
          <w:tcPr>
            <w:tcW w:w="1870" w:type="dxa"/>
            <w:tcBorders>
              <w:bottom w:val="single" w:sz="4" w:space="0" w:color="auto"/>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Rural</w:t>
            </w:r>
          </w:p>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N=88</w:t>
            </w:r>
          </w:p>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w:t>
            </w:r>
          </w:p>
        </w:tc>
        <w:tc>
          <w:tcPr>
            <w:tcW w:w="1640" w:type="dxa"/>
            <w:tcBorders>
              <w:bottom w:val="single" w:sz="4" w:space="0" w:color="auto"/>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Chi square</w:t>
            </w:r>
          </w:p>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P=0.05</w:t>
            </w:r>
          </w:p>
        </w:tc>
      </w:tr>
      <w:tr w:rsidR="00932B23" w:rsidRPr="000D229D" w:rsidTr="00932B23">
        <w:tc>
          <w:tcPr>
            <w:tcW w:w="2685" w:type="dxa"/>
            <w:vMerge w:val="restart"/>
            <w:tcBorders>
              <w:top w:val="single" w:sz="4" w:space="0" w:color="auto"/>
              <w:bottom w:val="nil"/>
            </w:tcBorders>
          </w:tcPr>
          <w:p w:rsidR="00932B23" w:rsidRPr="000D229D" w:rsidRDefault="00932B23" w:rsidP="00932B23">
            <w:pPr>
              <w:jc w:val="both"/>
              <w:rPr>
                <w:rFonts w:ascii="Times New Roman" w:hAnsi="Times New Roman" w:cs="Times New Roman"/>
                <w:sz w:val="20"/>
                <w:szCs w:val="20"/>
              </w:rPr>
            </w:pPr>
            <w:r w:rsidRPr="000D229D">
              <w:rPr>
                <w:rFonts w:ascii="Times New Roman" w:hAnsi="Times New Roman" w:cs="Times New Roman"/>
                <w:sz w:val="20"/>
                <w:szCs w:val="20"/>
              </w:rPr>
              <w:t>Cereals, roots, tubers</w:t>
            </w:r>
          </w:p>
        </w:tc>
        <w:tc>
          <w:tcPr>
            <w:tcW w:w="1350" w:type="dxa"/>
            <w:tcBorders>
              <w:top w:val="single" w:sz="4" w:space="0" w:color="auto"/>
              <w:bottom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Yes</w:t>
            </w:r>
          </w:p>
        </w:tc>
        <w:tc>
          <w:tcPr>
            <w:tcW w:w="2031" w:type="dxa"/>
            <w:tcBorders>
              <w:top w:val="single" w:sz="4" w:space="0" w:color="auto"/>
              <w:bottom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176(97.2)</w:t>
            </w:r>
          </w:p>
        </w:tc>
        <w:tc>
          <w:tcPr>
            <w:tcW w:w="1870" w:type="dxa"/>
            <w:tcBorders>
              <w:top w:val="single" w:sz="4" w:space="0" w:color="auto"/>
              <w:bottom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83(94.3)</w:t>
            </w:r>
          </w:p>
        </w:tc>
        <w:tc>
          <w:tcPr>
            <w:tcW w:w="1640" w:type="dxa"/>
            <w:tcBorders>
              <w:top w:val="single" w:sz="4" w:space="0" w:color="auto"/>
              <w:bottom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0.338</w:t>
            </w:r>
          </w:p>
        </w:tc>
      </w:tr>
      <w:tr w:rsidR="00932B23" w:rsidRPr="000D229D" w:rsidTr="00932B23">
        <w:tc>
          <w:tcPr>
            <w:tcW w:w="2685" w:type="dxa"/>
            <w:vMerge/>
            <w:tcBorders>
              <w:top w:val="nil"/>
            </w:tcBorders>
          </w:tcPr>
          <w:p w:rsidR="00932B23" w:rsidRPr="000D229D" w:rsidRDefault="00932B23" w:rsidP="00932B23">
            <w:pPr>
              <w:jc w:val="both"/>
              <w:rPr>
                <w:rFonts w:ascii="Times New Roman" w:hAnsi="Times New Roman" w:cs="Times New Roman"/>
                <w:sz w:val="20"/>
                <w:szCs w:val="20"/>
              </w:rPr>
            </w:pPr>
          </w:p>
        </w:tc>
        <w:tc>
          <w:tcPr>
            <w:tcW w:w="1350" w:type="dxa"/>
            <w:tcBorders>
              <w:top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No</w:t>
            </w:r>
          </w:p>
        </w:tc>
        <w:tc>
          <w:tcPr>
            <w:tcW w:w="2031" w:type="dxa"/>
            <w:tcBorders>
              <w:top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5(2.8)</w:t>
            </w:r>
          </w:p>
        </w:tc>
        <w:tc>
          <w:tcPr>
            <w:tcW w:w="1870" w:type="dxa"/>
            <w:tcBorders>
              <w:top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5(5.7)</w:t>
            </w:r>
          </w:p>
        </w:tc>
        <w:tc>
          <w:tcPr>
            <w:tcW w:w="1640" w:type="dxa"/>
            <w:tcBorders>
              <w:top w:val="nil"/>
            </w:tcBorders>
          </w:tcPr>
          <w:p w:rsidR="00932B23" w:rsidRPr="000D229D" w:rsidRDefault="00932B23" w:rsidP="00932B23">
            <w:pPr>
              <w:jc w:val="center"/>
              <w:rPr>
                <w:rFonts w:ascii="Times New Roman" w:hAnsi="Times New Roman" w:cs="Times New Roman"/>
                <w:sz w:val="20"/>
                <w:szCs w:val="20"/>
              </w:rPr>
            </w:pPr>
          </w:p>
        </w:tc>
      </w:tr>
      <w:tr w:rsidR="00932B23" w:rsidRPr="000D229D" w:rsidTr="00932B23">
        <w:tc>
          <w:tcPr>
            <w:tcW w:w="2685" w:type="dxa"/>
            <w:vMerge w:val="restart"/>
          </w:tcPr>
          <w:p w:rsidR="00932B23" w:rsidRPr="000D229D" w:rsidRDefault="00932B23" w:rsidP="00932B23">
            <w:pPr>
              <w:jc w:val="both"/>
              <w:rPr>
                <w:rFonts w:ascii="Times New Roman" w:hAnsi="Times New Roman" w:cs="Times New Roman"/>
                <w:sz w:val="20"/>
                <w:szCs w:val="20"/>
              </w:rPr>
            </w:pPr>
            <w:r w:rsidRPr="000D229D">
              <w:rPr>
                <w:rFonts w:ascii="Times New Roman" w:hAnsi="Times New Roman" w:cs="Times New Roman"/>
                <w:sz w:val="20"/>
                <w:szCs w:val="20"/>
              </w:rPr>
              <w:t>Legumes, nuts</w:t>
            </w:r>
          </w:p>
        </w:tc>
        <w:tc>
          <w:tcPr>
            <w:tcW w:w="135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Yes</w:t>
            </w:r>
          </w:p>
        </w:tc>
        <w:tc>
          <w:tcPr>
            <w:tcW w:w="2031"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31(17.1)</w:t>
            </w:r>
          </w:p>
        </w:tc>
        <w:tc>
          <w:tcPr>
            <w:tcW w:w="187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19(21.6)</w:t>
            </w:r>
          </w:p>
        </w:tc>
        <w:tc>
          <w:tcPr>
            <w:tcW w:w="164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0.282</w:t>
            </w:r>
          </w:p>
        </w:tc>
      </w:tr>
      <w:tr w:rsidR="00932B23" w:rsidRPr="000D229D" w:rsidTr="00932B23">
        <w:tc>
          <w:tcPr>
            <w:tcW w:w="2685" w:type="dxa"/>
            <w:vMerge/>
          </w:tcPr>
          <w:p w:rsidR="00932B23" w:rsidRPr="000D229D" w:rsidRDefault="00932B23" w:rsidP="00932B23">
            <w:pPr>
              <w:jc w:val="both"/>
              <w:rPr>
                <w:rFonts w:ascii="Times New Roman" w:hAnsi="Times New Roman" w:cs="Times New Roman"/>
                <w:sz w:val="20"/>
                <w:szCs w:val="20"/>
              </w:rPr>
            </w:pPr>
          </w:p>
        </w:tc>
        <w:tc>
          <w:tcPr>
            <w:tcW w:w="135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No</w:t>
            </w:r>
          </w:p>
        </w:tc>
        <w:tc>
          <w:tcPr>
            <w:tcW w:w="2031"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150(82.9)</w:t>
            </w:r>
          </w:p>
        </w:tc>
        <w:tc>
          <w:tcPr>
            <w:tcW w:w="187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69(78.4)</w:t>
            </w:r>
          </w:p>
        </w:tc>
        <w:tc>
          <w:tcPr>
            <w:tcW w:w="1640" w:type="dxa"/>
          </w:tcPr>
          <w:p w:rsidR="00932B23" w:rsidRPr="000D229D" w:rsidRDefault="00932B23" w:rsidP="00932B23">
            <w:pPr>
              <w:jc w:val="center"/>
              <w:rPr>
                <w:rFonts w:ascii="Times New Roman" w:hAnsi="Times New Roman" w:cs="Times New Roman"/>
                <w:sz w:val="20"/>
                <w:szCs w:val="20"/>
              </w:rPr>
            </w:pPr>
          </w:p>
        </w:tc>
      </w:tr>
      <w:tr w:rsidR="00932B23" w:rsidRPr="000D229D" w:rsidTr="00932B23">
        <w:tc>
          <w:tcPr>
            <w:tcW w:w="2685" w:type="dxa"/>
            <w:vMerge w:val="restart"/>
          </w:tcPr>
          <w:p w:rsidR="00932B23" w:rsidRPr="000D229D" w:rsidRDefault="00932B23" w:rsidP="00932B23">
            <w:pPr>
              <w:jc w:val="both"/>
              <w:rPr>
                <w:rFonts w:ascii="Times New Roman" w:hAnsi="Times New Roman" w:cs="Times New Roman"/>
                <w:sz w:val="20"/>
                <w:szCs w:val="20"/>
              </w:rPr>
            </w:pPr>
            <w:r w:rsidRPr="000D229D">
              <w:rPr>
                <w:rFonts w:ascii="Times New Roman" w:hAnsi="Times New Roman" w:cs="Times New Roman"/>
                <w:sz w:val="20"/>
                <w:szCs w:val="20"/>
              </w:rPr>
              <w:t>Milks and milk products</w:t>
            </w:r>
          </w:p>
        </w:tc>
        <w:tc>
          <w:tcPr>
            <w:tcW w:w="135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Yes</w:t>
            </w:r>
          </w:p>
        </w:tc>
        <w:tc>
          <w:tcPr>
            <w:tcW w:w="2031"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102(56.4)</w:t>
            </w:r>
          </w:p>
        </w:tc>
        <w:tc>
          <w:tcPr>
            <w:tcW w:w="187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54(61.4)</w:t>
            </w:r>
          </w:p>
        </w:tc>
        <w:tc>
          <w:tcPr>
            <w:tcW w:w="164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0.725</w:t>
            </w:r>
          </w:p>
        </w:tc>
      </w:tr>
      <w:tr w:rsidR="00932B23" w:rsidRPr="000D229D" w:rsidTr="00932B23">
        <w:tc>
          <w:tcPr>
            <w:tcW w:w="2685" w:type="dxa"/>
            <w:vMerge/>
          </w:tcPr>
          <w:p w:rsidR="00932B23" w:rsidRPr="000D229D" w:rsidRDefault="00932B23" w:rsidP="00932B23">
            <w:pPr>
              <w:jc w:val="both"/>
              <w:rPr>
                <w:rFonts w:ascii="Times New Roman" w:hAnsi="Times New Roman" w:cs="Times New Roman"/>
                <w:sz w:val="20"/>
                <w:szCs w:val="20"/>
              </w:rPr>
            </w:pPr>
          </w:p>
        </w:tc>
        <w:tc>
          <w:tcPr>
            <w:tcW w:w="135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No</w:t>
            </w:r>
          </w:p>
        </w:tc>
        <w:tc>
          <w:tcPr>
            <w:tcW w:w="2031"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79(43.6)</w:t>
            </w:r>
          </w:p>
        </w:tc>
        <w:tc>
          <w:tcPr>
            <w:tcW w:w="187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34(38.6)</w:t>
            </w:r>
          </w:p>
        </w:tc>
        <w:tc>
          <w:tcPr>
            <w:tcW w:w="1640" w:type="dxa"/>
          </w:tcPr>
          <w:p w:rsidR="00932B23" w:rsidRPr="000D229D" w:rsidRDefault="00932B23" w:rsidP="00932B23">
            <w:pPr>
              <w:jc w:val="center"/>
              <w:rPr>
                <w:rFonts w:ascii="Times New Roman" w:hAnsi="Times New Roman" w:cs="Times New Roman"/>
                <w:sz w:val="20"/>
                <w:szCs w:val="20"/>
              </w:rPr>
            </w:pPr>
          </w:p>
        </w:tc>
      </w:tr>
      <w:tr w:rsidR="00932B23" w:rsidRPr="000D229D" w:rsidTr="00932B23">
        <w:tc>
          <w:tcPr>
            <w:tcW w:w="2685" w:type="dxa"/>
            <w:vMerge w:val="restart"/>
          </w:tcPr>
          <w:p w:rsidR="00932B23" w:rsidRPr="000D229D" w:rsidRDefault="00932B23" w:rsidP="00932B23">
            <w:pPr>
              <w:jc w:val="both"/>
              <w:rPr>
                <w:rFonts w:ascii="Times New Roman" w:hAnsi="Times New Roman" w:cs="Times New Roman"/>
                <w:sz w:val="20"/>
                <w:szCs w:val="20"/>
              </w:rPr>
            </w:pPr>
            <w:r w:rsidRPr="000D229D">
              <w:rPr>
                <w:rFonts w:ascii="Times New Roman" w:hAnsi="Times New Roman" w:cs="Times New Roman"/>
                <w:sz w:val="20"/>
                <w:szCs w:val="20"/>
              </w:rPr>
              <w:t>Flesh foods</w:t>
            </w:r>
          </w:p>
        </w:tc>
        <w:tc>
          <w:tcPr>
            <w:tcW w:w="135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Yes</w:t>
            </w:r>
          </w:p>
        </w:tc>
        <w:tc>
          <w:tcPr>
            <w:tcW w:w="2031"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40(22.1)</w:t>
            </w:r>
          </w:p>
        </w:tc>
        <w:tc>
          <w:tcPr>
            <w:tcW w:w="187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15(17.0)</w:t>
            </w:r>
          </w:p>
        </w:tc>
        <w:tc>
          <w:tcPr>
            <w:tcW w:w="164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0.481</w:t>
            </w:r>
          </w:p>
        </w:tc>
      </w:tr>
      <w:tr w:rsidR="00932B23" w:rsidRPr="000D229D" w:rsidTr="00932B23">
        <w:tc>
          <w:tcPr>
            <w:tcW w:w="2685" w:type="dxa"/>
            <w:vMerge/>
          </w:tcPr>
          <w:p w:rsidR="00932B23" w:rsidRPr="000D229D" w:rsidRDefault="00932B23" w:rsidP="00932B23">
            <w:pPr>
              <w:jc w:val="both"/>
              <w:rPr>
                <w:rFonts w:ascii="Times New Roman" w:hAnsi="Times New Roman" w:cs="Times New Roman"/>
                <w:sz w:val="20"/>
                <w:szCs w:val="20"/>
              </w:rPr>
            </w:pPr>
          </w:p>
        </w:tc>
        <w:tc>
          <w:tcPr>
            <w:tcW w:w="135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No</w:t>
            </w:r>
          </w:p>
        </w:tc>
        <w:tc>
          <w:tcPr>
            <w:tcW w:w="2031"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141(77.9)</w:t>
            </w:r>
          </w:p>
        </w:tc>
        <w:tc>
          <w:tcPr>
            <w:tcW w:w="187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73(83.0)</w:t>
            </w:r>
          </w:p>
        </w:tc>
        <w:tc>
          <w:tcPr>
            <w:tcW w:w="1640" w:type="dxa"/>
          </w:tcPr>
          <w:p w:rsidR="00932B23" w:rsidRPr="000D229D" w:rsidRDefault="00932B23" w:rsidP="00932B23">
            <w:pPr>
              <w:jc w:val="center"/>
              <w:rPr>
                <w:rFonts w:ascii="Times New Roman" w:hAnsi="Times New Roman" w:cs="Times New Roman"/>
                <w:sz w:val="20"/>
                <w:szCs w:val="20"/>
              </w:rPr>
            </w:pPr>
          </w:p>
        </w:tc>
      </w:tr>
      <w:tr w:rsidR="00932B23" w:rsidRPr="000D229D" w:rsidTr="00932B23">
        <w:tc>
          <w:tcPr>
            <w:tcW w:w="2685" w:type="dxa"/>
            <w:vMerge w:val="restart"/>
          </w:tcPr>
          <w:p w:rsidR="00932B23" w:rsidRPr="000D229D" w:rsidRDefault="00932B23" w:rsidP="00932B23">
            <w:pPr>
              <w:jc w:val="both"/>
              <w:rPr>
                <w:rFonts w:ascii="Times New Roman" w:hAnsi="Times New Roman" w:cs="Times New Roman"/>
                <w:sz w:val="20"/>
                <w:szCs w:val="20"/>
              </w:rPr>
            </w:pPr>
            <w:r w:rsidRPr="000D229D">
              <w:rPr>
                <w:rFonts w:ascii="Times New Roman" w:hAnsi="Times New Roman" w:cs="Times New Roman"/>
                <w:sz w:val="20"/>
                <w:szCs w:val="20"/>
              </w:rPr>
              <w:t>Eggs</w:t>
            </w:r>
          </w:p>
        </w:tc>
        <w:tc>
          <w:tcPr>
            <w:tcW w:w="135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Yes</w:t>
            </w:r>
          </w:p>
        </w:tc>
        <w:tc>
          <w:tcPr>
            <w:tcW w:w="2031"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13(7.2)</w:t>
            </w:r>
          </w:p>
        </w:tc>
        <w:tc>
          <w:tcPr>
            <w:tcW w:w="187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11(12.5)</w:t>
            </w:r>
          </w:p>
        </w:tc>
        <w:tc>
          <w:tcPr>
            <w:tcW w:w="164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0.250</w:t>
            </w:r>
          </w:p>
        </w:tc>
      </w:tr>
      <w:tr w:rsidR="00932B23" w:rsidRPr="000D229D" w:rsidTr="00932B23">
        <w:tc>
          <w:tcPr>
            <w:tcW w:w="2685" w:type="dxa"/>
            <w:vMerge/>
          </w:tcPr>
          <w:p w:rsidR="00932B23" w:rsidRPr="000D229D" w:rsidRDefault="00932B23" w:rsidP="00932B23">
            <w:pPr>
              <w:jc w:val="both"/>
              <w:rPr>
                <w:rFonts w:ascii="Times New Roman" w:hAnsi="Times New Roman" w:cs="Times New Roman"/>
                <w:sz w:val="20"/>
                <w:szCs w:val="20"/>
              </w:rPr>
            </w:pPr>
          </w:p>
        </w:tc>
        <w:tc>
          <w:tcPr>
            <w:tcW w:w="135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No</w:t>
            </w:r>
          </w:p>
        </w:tc>
        <w:tc>
          <w:tcPr>
            <w:tcW w:w="2031"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168(92.8)</w:t>
            </w:r>
          </w:p>
        </w:tc>
        <w:tc>
          <w:tcPr>
            <w:tcW w:w="187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77(87.5)</w:t>
            </w:r>
          </w:p>
        </w:tc>
        <w:tc>
          <w:tcPr>
            <w:tcW w:w="1640" w:type="dxa"/>
          </w:tcPr>
          <w:p w:rsidR="00932B23" w:rsidRPr="000D229D" w:rsidRDefault="00932B23" w:rsidP="00932B23">
            <w:pPr>
              <w:jc w:val="center"/>
              <w:rPr>
                <w:rFonts w:ascii="Times New Roman" w:hAnsi="Times New Roman" w:cs="Times New Roman"/>
                <w:sz w:val="20"/>
                <w:szCs w:val="20"/>
              </w:rPr>
            </w:pPr>
          </w:p>
        </w:tc>
      </w:tr>
      <w:tr w:rsidR="00932B23" w:rsidRPr="000D229D" w:rsidTr="00932B23">
        <w:tc>
          <w:tcPr>
            <w:tcW w:w="2685" w:type="dxa"/>
            <w:vMerge w:val="restart"/>
          </w:tcPr>
          <w:p w:rsidR="00932B23" w:rsidRPr="000D229D" w:rsidRDefault="00932B23" w:rsidP="00932B23">
            <w:pPr>
              <w:jc w:val="both"/>
              <w:rPr>
                <w:rFonts w:ascii="Times New Roman" w:hAnsi="Times New Roman" w:cs="Times New Roman"/>
                <w:sz w:val="20"/>
                <w:szCs w:val="20"/>
              </w:rPr>
            </w:pPr>
            <w:r w:rsidRPr="000D229D">
              <w:rPr>
                <w:rFonts w:ascii="Times New Roman" w:hAnsi="Times New Roman" w:cs="Times New Roman"/>
                <w:sz w:val="20"/>
                <w:szCs w:val="20"/>
              </w:rPr>
              <w:t>Vitamin A rich foods</w:t>
            </w:r>
          </w:p>
        </w:tc>
        <w:tc>
          <w:tcPr>
            <w:tcW w:w="135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Yes</w:t>
            </w:r>
          </w:p>
        </w:tc>
        <w:tc>
          <w:tcPr>
            <w:tcW w:w="2031"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26(14.4)</w:t>
            </w:r>
          </w:p>
        </w:tc>
        <w:tc>
          <w:tcPr>
            <w:tcW w:w="187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31(35.2)</w:t>
            </w:r>
          </w:p>
        </w:tc>
        <w:tc>
          <w:tcPr>
            <w:tcW w:w="1640" w:type="dxa"/>
          </w:tcPr>
          <w:p w:rsidR="00932B23" w:rsidRPr="000D229D" w:rsidRDefault="00932B23" w:rsidP="00932B23">
            <w:pPr>
              <w:jc w:val="center"/>
              <w:rPr>
                <w:rFonts w:ascii="Times New Roman" w:hAnsi="Times New Roman" w:cs="Times New Roman"/>
                <w:b/>
                <w:sz w:val="20"/>
                <w:szCs w:val="20"/>
              </w:rPr>
            </w:pPr>
            <w:r w:rsidRPr="000D229D">
              <w:rPr>
                <w:rFonts w:ascii="Times New Roman" w:hAnsi="Times New Roman" w:cs="Times New Roman"/>
                <w:b/>
                <w:sz w:val="20"/>
                <w:szCs w:val="20"/>
              </w:rPr>
              <w:t>0.001*</w:t>
            </w:r>
          </w:p>
        </w:tc>
      </w:tr>
      <w:tr w:rsidR="00932B23" w:rsidRPr="000D229D" w:rsidTr="00932B23">
        <w:tc>
          <w:tcPr>
            <w:tcW w:w="2685" w:type="dxa"/>
            <w:vMerge/>
          </w:tcPr>
          <w:p w:rsidR="00932B23" w:rsidRPr="000D229D" w:rsidRDefault="00932B23" w:rsidP="00932B23">
            <w:pPr>
              <w:jc w:val="both"/>
              <w:rPr>
                <w:rFonts w:ascii="Times New Roman" w:hAnsi="Times New Roman" w:cs="Times New Roman"/>
                <w:sz w:val="20"/>
                <w:szCs w:val="20"/>
              </w:rPr>
            </w:pPr>
          </w:p>
        </w:tc>
        <w:tc>
          <w:tcPr>
            <w:tcW w:w="135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No</w:t>
            </w:r>
          </w:p>
        </w:tc>
        <w:tc>
          <w:tcPr>
            <w:tcW w:w="2031"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155(85.6)</w:t>
            </w:r>
          </w:p>
        </w:tc>
        <w:tc>
          <w:tcPr>
            <w:tcW w:w="187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57(64.8)</w:t>
            </w:r>
          </w:p>
        </w:tc>
        <w:tc>
          <w:tcPr>
            <w:tcW w:w="1640" w:type="dxa"/>
          </w:tcPr>
          <w:p w:rsidR="00932B23" w:rsidRPr="000D229D" w:rsidRDefault="00932B23" w:rsidP="00932B23">
            <w:pPr>
              <w:jc w:val="center"/>
              <w:rPr>
                <w:rFonts w:ascii="Times New Roman" w:hAnsi="Times New Roman" w:cs="Times New Roman"/>
                <w:sz w:val="20"/>
                <w:szCs w:val="20"/>
              </w:rPr>
            </w:pPr>
          </w:p>
        </w:tc>
      </w:tr>
      <w:tr w:rsidR="00932B23" w:rsidRPr="000D229D" w:rsidTr="00932B23">
        <w:tc>
          <w:tcPr>
            <w:tcW w:w="2685" w:type="dxa"/>
            <w:vMerge w:val="restart"/>
          </w:tcPr>
          <w:p w:rsidR="00932B23" w:rsidRPr="000D229D" w:rsidRDefault="00932B23" w:rsidP="00932B23">
            <w:pPr>
              <w:jc w:val="both"/>
              <w:rPr>
                <w:rFonts w:ascii="Times New Roman" w:hAnsi="Times New Roman" w:cs="Times New Roman"/>
                <w:sz w:val="20"/>
                <w:szCs w:val="20"/>
              </w:rPr>
            </w:pPr>
            <w:r w:rsidRPr="000D229D">
              <w:rPr>
                <w:rFonts w:ascii="Times New Roman" w:hAnsi="Times New Roman" w:cs="Times New Roman"/>
                <w:sz w:val="20"/>
                <w:szCs w:val="20"/>
              </w:rPr>
              <w:t>Fruits and vegetables</w:t>
            </w:r>
          </w:p>
        </w:tc>
        <w:tc>
          <w:tcPr>
            <w:tcW w:w="135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Yes</w:t>
            </w:r>
          </w:p>
        </w:tc>
        <w:tc>
          <w:tcPr>
            <w:tcW w:w="2031"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126(69.6)</w:t>
            </w:r>
          </w:p>
        </w:tc>
        <w:tc>
          <w:tcPr>
            <w:tcW w:w="187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64(72.7)</w:t>
            </w:r>
          </w:p>
        </w:tc>
        <w:tc>
          <w:tcPr>
            <w:tcW w:w="164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0.862</w:t>
            </w:r>
          </w:p>
        </w:tc>
      </w:tr>
      <w:tr w:rsidR="00932B23" w:rsidRPr="000D229D" w:rsidTr="00932B23">
        <w:tc>
          <w:tcPr>
            <w:tcW w:w="2685" w:type="dxa"/>
            <w:vMerge/>
          </w:tcPr>
          <w:p w:rsidR="00932B23" w:rsidRPr="000D229D" w:rsidRDefault="00932B23" w:rsidP="00932B23">
            <w:pPr>
              <w:jc w:val="both"/>
              <w:rPr>
                <w:rFonts w:ascii="Times New Roman" w:hAnsi="Times New Roman" w:cs="Times New Roman"/>
                <w:sz w:val="20"/>
                <w:szCs w:val="20"/>
              </w:rPr>
            </w:pPr>
          </w:p>
        </w:tc>
        <w:tc>
          <w:tcPr>
            <w:tcW w:w="135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No</w:t>
            </w:r>
          </w:p>
        </w:tc>
        <w:tc>
          <w:tcPr>
            <w:tcW w:w="2031"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55(30.4)</w:t>
            </w:r>
          </w:p>
        </w:tc>
        <w:tc>
          <w:tcPr>
            <w:tcW w:w="1870" w:type="dxa"/>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24(27.3)</w:t>
            </w:r>
          </w:p>
        </w:tc>
        <w:tc>
          <w:tcPr>
            <w:tcW w:w="1640" w:type="dxa"/>
          </w:tcPr>
          <w:p w:rsidR="00932B23" w:rsidRPr="000D229D" w:rsidRDefault="00932B23" w:rsidP="00932B23">
            <w:pPr>
              <w:jc w:val="center"/>
              <w:rPr>
                <w:rFonts w:ascii="Times New Roman" w:hAnsi="Times New Roman" w:cs="Times New Roman"/>
                <w:sz w:val="20"/>
                <w:szCs w:val="20"/>
              </w:rPr>
            </w:pPr>
          </w:p>
        </w:tc>
      </w:tr>
    </w:tbl>
    <w:p w:rsidR="00932B23" w:rsidRDefault="00932B23" w:rsidP="00932B23">
      <w:pPr>
        <w:spacing w:after="0" w:line="480" w:lineRule="auto"/>
        <w:jc w:val="both"/>
        <w:rPr>
          <w:rFonts w:ascii="Times New Roman" w:hAnsi="Times New Roman" w:cs="Times New Roman"/>
          <w:sz w:val="18"/>
          <w:szCs w:val="18"/>
        </w:rPr>
      </w:pPr>
      <w:r w:rsidRPr="00B67EB0">
        <w:rPr>
          <w:rFonts w:ascii="Times New Roman" w:hAnsi="Times New Roman" w:cs="Times New Roman"/>
          <w:b/>
          <w:sz w:val="24"/>
          <w:szCs w:val="24"/>
        </w:rPr>
        <w:t>*</w:t>
      </w:r>
      <w:r w:rsidRPr="00B67EB0">
        <w:rPr>
          <w:rFonts w:ascii="Times New Roman" w:hAnsi="Times New Roman" w:cs="Times New Roman"/>
          <w:sz w:val="18"/>
          <w:szCs w:val="18"/>
        </w:rPr>
        <w:t>Significant difference</w:t>
      </w:r>
    </w:p>
    <w:p w:rsidR="00932B23" w:rsidRDefault="00932B23" w:rsidP="007110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Dietary diversity scores for children 6-23 months showing the total number of food groups consumed by a child in the last 24 hours</w:t>
      </w:r>
      <w:r w:rsidRPr="00306862">
        <w:rPr>
          <w:rFonts w:ascii="Times New Roman" w:hAnsi="Times New Roman" w:cs="Times New Roman"/>
          <w:sz w:val="24"/>
          <w:szCs w:val="24"/>
        </w:rPr>
        <w:t xml:space="preserve"> </w:t>
      </w:r>
      <w:r>
        <w:rPr>
          <w:rFonts w:ascii="Times New Roman" w:hAnsi="Times New Roman" w:cs="Times New Roman"/>
          <w:sz w:val="24"/>
          <w:szCs w:val="24"/>
        </w:rPr>
        <w:t xml:space="preserve">The dietary diversity score (DDS) of 3 was highest for both urban (42.0%/n=76) and rural at 35.2%/n=31. Number of children who had DDS of 5 was 5.2% and DDS of 6 were the least at 1.5%. No child received 7 food groups. See </w:t>
      </w:r>
      <w:r w:rsidR="00047CA2">
        <w:rPr>
          <w:rFonts w:ascii="Times New Roman" w:hAnsi="Times New Roman" w:cs="Times New Roman"/>
          <w:sz w:val="24"/>
          <w:szCs w:val="24"/>
        </w:rPr>
        <w:t>Table 5</w:t>
      </w:r>
      <w:r>
        <w:rPr>
          <w:rFonts w:ascii="Times New Roman" w:hAnsi="Times New Roman" w:cs="Times New Roman"/>
          <w:sz w:val="24"/>
          <w:szCs w:val="24"/>
        </w:rPr>
        <w:t xml:space="preserve"> </w:t>
      </w:r>
    </w:p>
    <w:p w:rsidR="000D229D" w:rsidRDefault="000D229D" w:rsidP="00711048">
      <w:pPr>
        <w:spacing w:after="0" w:line="360" w:lineRule="auto"/>
        <w:jc w:val="both"/>
        <w:rPr>
          <w:rFonts w:ascii="Times New Roman" w:hAnsi="Times New Roman" w:cs="Times New Roman"/>
          <w:sz w:val="24"/>
          <w:szCs w:val="24"/>
        </w:rPr>
      </w:pPr>
    </w:p>
    <w:p w:rsidR="00932B23" w:rsidRDefault="00932B23" w:rsidP="00932B23">
      <w:pPr>
        <w:pStyle w:val="Heading4"/>
        <w:spacing w:before="0" w:line="480" w:lineRule="auto"/>
        <w:rPr>
          <w:rFonts w:ascii="Times New Roman" w:hAnsi="Times New Roman" w:cs="Times New Roman"/>
          <w:i w:val="0"/>
          <w:color w:val="auto"/>
          <w:sz w:val="24"/>
          <w:szCs w:val="24"/>
        </w:rPr>
      </w:pPr>
      <w:bookmarkStart w:id="10" w:name="_Toc5363712"/>
      <w:bookmarkStart w:id="11" w:name="_Toc14839548"/>
      <w:r w:rsidRPr="00DB18AE">
        <w:rPr>
          <w:rFonts w:ascii="Times New Roman" w:hAnsi="Times New Roman" w:cs="Times New Roman"/>
          <w:i w:val="0"/>
          <w:color w:val="auto"/>
          <w:sz w:val="24"/>
          <w:szCs w:val="24"/>
        </w:rPr>
        <w:t xml:space="preserve">Table </w:t>
      </w:r>
      <w:r>
        <w:rPr>
          <w:rFonts w:ascii="Times New Roman" w:hAnsi="Times New Roman" w:cs="Times New Roman"/>
          <w:i w:val="0"/>
          <w:color w:val="auto"/>
          <w:sz w:val="24"/>
          <w:szCs w:val="24"/>
        </w:rPr>
        <w:t>5</w:t>
      </w:r>
      <w:r w:rsidRPr="00DB18AE">
        <w:rPr>
          <w:rFonts w:ascii="Times New Roman" w:hAnsi="Times New Roman" w:cs="Times New Roman"/>
          <w:i w:val="0"/>
          <w:color w:val="auto"/>
          <w:sz w:val="24"/>
          <w:szCs w:val="24"/>
        </w:rPr>
        <w:t>: Dietary diversity score for children 6-23 months</w:t>
      </w:r>
      <w:bookmarkEnd w:id="10"/>
      <w:bookmarkEnd w:id="11"/>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1295"/>
        <w:gridCol w:w="1258"/>
        <w:gridCol w:w="1440"/>
        <w:gridCol w:w="1134"/>
        <w:gridCol w:w="979"/>
        <w:gridCol w:w="891"/>
        <w:gridCol w:w="891"/>
        <w:gridCol w:w="804"/>
      </w:tblGrid>
      <w:tr w:rsidR="00932B23" w:rsidRPr="000D229D" w:rsidTr="00932B23">
        <w:tc>
          <w:tcPr>
            <w:tcW w:w="462" w:type="pct"/>
            <w:vMerge w:val="restart"/>
            <w:tcBorders>
              <w:top w:val="single" w:sz="4" w:space="0" w:color="auto"/>
              <w:bottom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p>
          <w:p w:rsidR="00932B23" w:rsidRPr="000D229D" w:rsidRDefault="00932B23" w:rsidP="00932B23">
            <w:pPr>
              <w:autoSpaceDE w:val="0"/>
              <w:autoSpaceDN w:val="0"/>
              <w:adjustRightInd w:val="0"/>
              <w:jc w:val="center"/>
              <w:rPr>
                <w:rFonts w:ascii="Times New Roman" w:hAnsi="Times New Roman" w:cs="Times New Roman"/>
                <w:sz w:val="20"/>
                <w:szCs w:val="20"/>
              </w:rPr>
            </w:pPr>
          </w:p>
          <w:p w:rsidR="00932B23" w:rsidRPr="000D229D" w:rsidRDefault="00932B23" w:rsidP="00932B23">
            <w:pPr>
              <w:autoSpaceDE w:val="0"/>
              <w:autoSpaceDN w:val="0"/>
              <w:adjustRightInd w:val="0"/>
              <w:jc w:val="center"/>
              <w:rPr>
                <w:rFonts w:ascii="Times New Roman" w:hAnsi="Times New Roman" w:cs="Times New Roman"/>
                <w:sz w:val="20"/>
                <w:szCs w:val="20"/>
              </w:rPr>
            </w:pPr>
          </w:p>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Reside</w:t>
            </w:r>
          </w:p>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nce</w:t>
            </w:r>
          </w:p>
        </w:tc>
        <w:tc>
          <w:tcPr>
            <w:tcW w:w="3653" w:type="pct"/>
            <w:gridSpan w:val="6"/>
            <w:tcBorders>
              <w:top w:val="single" w:sz="4" w:space="0" w:color="auto"/>
              <w:bottom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Dietary diversity score for children 6-23 months</w:t>
            </w:r>
          </w:p>
          <w:p w:rsidR="00932B23" w:rsidRPr="000D229D" w:rsidRDefault="00932B23" w:rsidP="00932B23">
            <w:pPr>
              <w:autoSpaceDE w:val="0"/>
              <w:autoSpaceDN w:val="0"/>
              <w:adjustRightInd w:val="0"/>
              <w:jc w:val="center"/>
              <w:rPr>
                <w:rFonts w:ascii="Times New Roman" w:hAnsi="Times New Roman" w:cs="Times New Roman"/>
                <w:sz w:val="20"/>
                <w:szCs w:val="20"/>
              </w:rPr>
            </w:pPr>
          </w:p>
        </w:tc>
        <w:tc>
          <w:tcPr>
            <w:tcW w:w="465" w:type="pct"/>
            <w:tcBorders>
              <w:top w:val="single" w:sz="4" w:space="0" w:color="auto"/>
              <w:bottom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p>
        </w:tc>
        <w:tc>
          <w:tcPr>
            <w:tcW w:w="420" w:type="pct"/>
            <w:tcBorders>
              <w:top w:val="single" w:sz="4" w:space="0" w:color="auto"/>
              <w:bottom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p>
        </w:tc>
      </w:tr>
      <w:tr w:rsidR="00932B23" w:rsidRPr="000D229D" w:rsidTr="00932B23">
        <w:trPr>
          <w:trHeight w:val="926"/>
        </w:trPr>
        <w:tc>
          <w:tcPr>
            <w:tcW w:w="462" w:type="pct"/>
            <w:vMerge/>
            <w:tcBorders>
              <w:top w:val="nil"/>
              <w:bottom w:val="single" w:sz="4" w:space="0" w:color="auto"/>
            </w:tcBorders>
          </w:tcPr>
          <w:p w:rsidR="00932B23" w:rsidRPr="000D229D" w:rsidRDefault="00932B23" w:rsidP="00932B23">
            <w:pPr>
              <w:autoSpaceDE w:val="0"/>
              <w:autoSpaceDN w:val="0"/>
              <w:adjustRightInd w:val="0"/>
              <w:rPr>
                <w:rFonts w:ascii="Times New Roman" w:hAnsi="Times New Roman" w:cs="Times New Roman"/>
                <w:sz w:val="20"/>
                <w:szCs w:val="20"/>
              </w:rPr>
            </w:pPr>
          </w:p>
        </w:tc>
        <w:tc>
          <w:tcPr>
            <w:tcW w:w="676" w:type="pct"/>
            <w:tcBorders>
              <w:top w:val="nil"/>
              <w:bottom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DDS=1</w:t>
            </w:r>
          </w:p>
          <w:p w:rsidR="00932B23" w:rsidRPr="000D229D" w:rsidRDefault="00932B23" w:rsidP="00932B23">
            <w:pPr>
              <w:autoSpaceDE w:val="0"/>
              <w:autoSpaceDN w:val="0"/>
              <w:adjustRightInd w:val="0"/>
              <w:jc w:val="center"/>
              <w:rPr>
                <w:rFonts w:ascii="Times New Roman" w:hAnsi="Times New Roman" w:cs="Times New Roman"/>
                <w:sz w:val="20"/>
                <w:szCs w:val="20"/>
              </w:rPr>
            </w:pPr>
          </w:p>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n(%)</w:t>
            </w:r>
          </w:p>
        </w:tc>
        <w:tc>
          <w:tcPr>
            <w:tcW w:w="657" w:type="pct"/>
            <w:tcBorders>
              <w:top w:val="nil"/>
              <w:bottom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DDS=2</w:t>
            </w:r>
          </w:p>
          <w:p w:rsidR="00932B23" w:rsidRPr="000D229D" w:rsidRDefault="00932B23" w:rsidP="00932B23">
            <w:pPr>
              <w:autoSpaceDE w:val="0"/>
              <w:autoSpaceDN w:val="0"/>
              <w:adjustRightInd w:val="0"/>
              <w:jc w:val="center"/>
              <w:rPr>
                <w:rFonts w:ascii="Times New Roman" w:hAnsi="Times New Roman" w:cs="Times New Roman"/>
                <w:sz w:val="20"/>
                <w:szCs w:val="20"/>
              </w:rPr>
            </w:pPr>
          </w:p>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n(%)</w:t>
            </w:r>
          </w:p>
        </w:tc>
        <w:tc>
          <w:tcPr>
            <w:tcW w:w="752" w:type="pct"/>
            <w:tcBorders>
              <w:top w:val="nil"/>
              <w:bottom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DDS=3</w:t>
            </w:r>
          </w:p>
          <w:p w:rsidR="00932B23" w:rsidRPr="000D229D" w:rsidRDefault="00932B23" w:rsidP="00932B23">
            <w:pPr>
              <w:autoSpaceDE w:val="0"/>
              <w:autoSpaceDN w:val="0"/>
              <w:adjustRightInd w:val="0"/>
              <w:jc w:val="center"/>
              <w:rPr>
                <w:rFonts w:ascii="Times New Roman" w:hAnsi="Times New Roman" w:cs="Times New Roman"/>
                <w:sz w:val="20"/>
                <w:szCs w:val="20"/>
              </w:rPr>
            </w:pPr>
          </w:p>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n(%)</w:t>
            </w:r>
          </w:p>
        </w:tc>
        <w:tc>
          <w:tcPr>
            <w:tcW w:w="592" w:type="pct"/>
            <w:tcBorders>
              <w:top w:val="nil"/>
              <w:bottom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DDS=4</w:t>
            </w:r>
          </w:p>
          <w:p w:rsidR="00932B23" w:rsidRPr="000D229D" w:rsidRDefault="00932B23" w:rsidP="00932B23">
            <w:pPr>
              <w:jc w:val="center"/>
              <w:rPr>
                <w:rFonts w:ascii="Times New Roman" w:hAnsi="Times New Roman" w:cs="Times New Roman"/>
                <w:sz w:val="20"/>
                <w:szCs w:val="20"/>
              </w:rPr>
            </w:pPr>
          </w:p>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w:t>
            </w:r>
          </w:p>
        </w:tc>
        <w:tc>
          <w:tcPr>
            <w:tcW w:w="511" w:type="pct"/>
            <w:tcBorders>
              <w:top w:val="nil"/>
              <w:bottom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DDS=5</w:t>
            </w:r>
          </w:p>
          <w:p w:rsidR="00932B23" w:rsidRPr="000D229D" w:rsidRDefault="00932B23" w:rsidP="00932B23">
            <w:pPr>
              <w:autoSpaceDE w:val="0"/>
              <w:autoSpaceDN w:val="0"/>
              <w:adjustRightInd w:val="0"/>
              <w:jc w:val="center"/>
              <w:rPr>
                <w:rFonts w:ascii="Times New Roman" w:hAnsi="Times New Roman" w:cs="Times New Roman"/>
                <w:sz w:val="20"/>
                <w:szCs w:val="20"/>
              </w:rPr>
            </w:pPr>
          </w:p>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n(%)</w:t>
            </w:r>
          </w:p>
        </w:tc>
        <w:tc>
          <w:tcPr>
            <w:tcW w:w="465" w:type="pct"/>
            <w:tcBorders>
              <w:top w:val="nil"/>
              <w:bottom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DDS=6</w:t>
            </w:r>
          </w:p>
          <w:p w:rsidR="00932B23" w:rsidRPr="000D229D" w:rsidRDefault="00932B23" w:rsidP="00932B23">
            <w:pPr>
              <w:jc w:val="center"/>
              <w:rPr>
                <w:rFonts w:ascii="Times New Roman" w:hAnsi="Times New Roman" w:cs="Times New Roman"/>
                <w:sz w:val="20"/>
                <w:szCs w:val="20"/>
              </w:rPr>
            </w:pPr>
          </w:p>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w:t>
            </w:r>
          </w:p>
        </w:tc>
        <w:tc>
          <w:tcPr>
            <w:tcW w:w="465" w:type="pct"/>
            <w:tcBorders>
              <w:top w:val="nil"/>
              <w:bottom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DDS=7</w:t>
            </w:r>
          </w:p>
          <w:p w:rsidR="00932B23" w:rsidRPr="000D229D" w:rsidRDefault="00932B23" w:rsidP="00932B23">
            <w:pPr>
              <w:rPr>
                <w:rFonts w:ascii="Times New Roman" w:hAnsi="Times New Roman" w:cs="Times New Roman"/>
                <w:sz w:val="20"/>
                <w:szCs w:val="20"/>
              </w:rPr>
            </w:pPr>
          </w:p>
          <w:p w:rsidR="00932B23" w:rsidRPr="000D229D" w:rsidRDefault="00932B23" w:rsidP="00932B23">
            <w:pPr>
              <w:rPr>
                <w:rFonts w:ascii="Times New Roman" w:hAnsi="Times New Roman" w:cs="Times New Roman"/>
                <w:sz w:val="20"/>
                <w:szCs w:val="20"/>
              </w:rPr>
            </w:pPr>
            <w:r w:rsidRPr="000D229D">
              <w:rPr>
                <w:rFonts w:ascii="Times New Roman" w:hAnsi="Times New Roman" w:cs="Times New Roman"/>
                <w:sz w:val="20"/>
                <w:szCs w:val="20"/>
              </w:rPr>
              <w:t>n(%)</w:t>
            </w:r>
          </w:p>
        </w:tc>
        <w:tc>
          <w:tcPr>
            <w:tcW w:w="420" w:type="pct"/>
            <w:tcBorders>
              <w:top w:val="nil"/>
              <w:bottom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p>
          <w:p w:rsidR="00932B23" w:rsidRPr="000D229D" w:rsidRDefault="00932B23" w:rsidP="00932B23">
            <w:pPr>
              <w:autoSpaceDE w:val="0"/>
              <w:autoSpaceDN w:val="0"/>
              <w:adjustRightInd w:val="0"/>
              <w:jc w:val="center"/>
              <w:rPr>
                <w:rFonts w:ascii="Times New Roman" w:hAnsi="Times New Roman" w:cs="Times New Roman"/>
                <w:sz w:val="20"/>
                <w:szCs w:val="20"/>
              </w:rPr>
            </w:pPr>
          </w:p>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n</w:t>
            </w:r>
          </w:p>
        </w:tc>
      </w:tr>
      <w:tr w:rsidR="00932B23" w:rsidRPr="000D229D" w:rsidTr="00932B23">
        <w:trPr>
          <w:trHeight w:val="413"/>
        </w:trPr>
        <w:tc>
          <w:tcPr>
            <w:tcW w:w="462" w:type="pct"/>
            <w:tcBorders>
              <w:top w:val="single" w:sz="4" w:space="0" w:color="auto"/>
            </w:tcBorders>
          </w:tcPr>
          <w:p w:rsidR="00932B23" w:rsidRPr="000D229D" w:rsidRDefault="00932B23" w:rsidP="00932B23">
            <w:pPr>
              <w:autoSpaceDE w:val="0"/>
              <w:autoSpaceDN w:val="0"/>
              <w:adjustRightInd w:val="0"/>
              <w:rPr>
                <w:rFonts w:ascii="Times New Roman" w:hAnsi="Times New Roman" w:cs="Times New Roman"/>
                <w:sz w:val="20"/>
                <w:szCs w:val="20"/>
              </w:rPr>
            </w:pPr>
            <w:r w:rsidRPr="000D229D">
              <w:rPr>
                <w:rFonts w:ascii="Times New Roman" w:hAnsi="Times New Roman" w:cs="Times New Roman"/>
                <w:sz w:val="20"/>
                <w:szCs w:val="20"/>
              </w:rPr>
              <w:t>Urban</w:t>
            </w:r>
          </w:p>
        </w:tc>
        <w:tc>
          <w:tcPr>
            <w:tcW w:w="676" w:type="pct"/>
            <w:tcBorders>
              <w:top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10(5.5)</w:t>
            </w:r>
          </w:p>
        </w:tc>
        <w:tc>
          <w:tcPr>
            <w:tcW w:w="657" w:type="pct"/>
            <w:tcBorders>
              <w:top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53(29.3)</w:t>
            </w:r>
          </w:p>
        </w:tc>
        <w:tc>
          <w:tcPr>
            <w:tcW w:w="752" w:type="pct"/>
            <w:tcBorders>
              <w:top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76(42.0)</w:t>
            </w:r>
          </w:p>
        </w:tc>
        <w:tc>
          <w:tcPr>
            <w:tcW w:w="592" w:type="pct"/>
            <w:tcBorders>
              <w:top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33(18.2)</w:t>
            </w:r>
          </w:p>
        </w:tc>
        <w:tc>
          <w:tcPr>
            <w:tcW w:w="511" w:type="pct"/>
            <w:tcBorders>
              <w:top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7(3.9)</w:t>
            </w:r>
          </w:p>
        </w:tc>
        <w:tc>
          <w:tcPr>
            <w:tcW w:w="465" w:type="pct"/>
            <w:tcBorders>
              <w:top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2(1.1)</w:t>
            </w:r>
          </w:p>
        </w:tc>
        <w:tc>
          <w:tcPr>
            <w:tcW w:w="465" w:type="pct"/>
            <w:tcBorders>
              <w:top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0(0.0)</w:t>
            </w:r>
          </w:p>
        </w:tc>
        <w:tc>
          <w:tcPr>
            <w:tcW w:w="420" w:type="pct"/>
            <w:tcBorders>
              <w:top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181</w:t>
            </w:r>
          </w:p>
        </w:tc>
      </w:tr>
      <w:tr w:rsidR="00932B23" w:rsidRPr="000D229D" w:rsidTr="00932B23">
        <w:trPr>
          <w:trHeight w:val="359"/>
        </w:trPr>
        <w:tc>
          <w:tcPr>
            <w:tcW w:w="462" w:type="pct"/>
          </w:tcPr>
          <w:p w:rsidR="00932B23" w:rsidRPr="000D229D" w:rsidRDefault="00932B23" w:rsidP="00932B23">
            <w:pPr>
              <w:autoSpaceDE w:val="0"/>
              <w:autoSpaceDN w:val="0"/>
              <w:adjustRightInd w:val="0"/>
              <w:rPr>
                <w:rFonts w:ascii="Times New Roman" w:hAnsi="Times New Roman" w:cs="Times New Roman"/>
                <w:sz w:val="20"/>
                <w:szCs w:val="20"/>
              </w:rPr>
            </w:pPr>
            <w:r w:rsidRPr="000D229D">
              <w:rPr>
                <w:rFonts w:ascii="Times New Roman" w:hAnsi="Times New Roman" w:cs="Times New Roman"/>
                <w:sz w:val="20"/>
                <w:szCs w:val="20"/>
              </w:rPr>
              <w:t>Rural</w:t>
            </w:r>
          </w:p>
        </w:tc>
        <w:tc>
          <w:tcPr>
            <w:tcW w:w="676"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10(11.4)</w:t>
            </w:r>
          </w:p>
        </w:tc>
        <w:tc>
          <w:tcPr>
            <w:tcW w:w="657"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13(14.8)</w:t>
            </w:r>
          </w:p>
        </w:tc>
        <w:tc>
          <w:tcPr>
            <w:tcW w:w="752"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31(35.2)</w:t>
            </w:r>
          </w:p>
        </w:tc>
        <w:tc>
          <w:tcPr>
            <w:tcW w:w="592"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25(28.4)</w:t>
            </w:r>
          </w:p>
        </w:tc>
        <w:tc>
          <w:tcPr>
            <w:tcW w:w="511"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7(8.0)</w:t>
            </w:r>
          </w:p>
        </w:tc>
        <w:tc>
          <w:tcPr>
            <w:tcW w:w="465"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2(2.3)</w:t>
            </w:r>
          </w:p>
        </w:tc>
        <w:tc>
          <w:tcPr>
            <w:tcW w:w="465"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0(0.0)</w:t>
            </w:r>
          </w:p>
        </w:tc>
        <w:tc>
          <w:tcPr>
            <w:tcW w:w="420"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88</w:t>
            </w:r>
          </w:p>
        </w:tc>
      </w:tr>
      <w:tr w:rsidR="00932B23" w:rsidRPr="000D229D" w:rsidTr="00932B23">
        <w:trPr>
          <w:trHeight w:val="350"/>
        </w:trPr>
        <w:tc>
          <w:tcPr>
            <w:tcW w:w="462" w:type="pct"/>
          </w:tcPr>
          <w:p w:rsidR="00932B23" w:rsidRPr="000D229D" w:rsidRDefault="00932B23" w:rsidP="00932B23">
            <w:pPr>
              <w:autoSpaceDE w:val="0"/>
              <w:autoSpaceDN w:val="0"/>
              <w:adjustRightInd w:val="0"/>
              <w:ind w:right="60"/>
              <w:jc w:val="both"/>
              <w:rPr>
                <w:rFonts w:ascii="Times New Roman" w:hAnsi="Times New Roman" w:cs="Times New Roman"/>
                <w:sz w:val="20"/>
                <w:szCs w:val="20"/>
              </w:rPr>
            </w:pPr>
            <w:r w:rsidRPr="000D229D">
              <w:rPr>
                <w:rFonts w:ascii="Times New Roman" w:hAnsi="Times New Roman" w:cs="Times New Roman"/>
                <w:sz w:val="20"/>
                <w:szCs w:val="20"/>
              </w:rPr>
              <w:t>Total</w:t>
            </w:r>
          </w:p>
        </w:tc>
        <w:tc>
          <w:tcPr>
            <w:tcW w:w="676" w:type="pct"/>
            <w:vAlign w:val="center"/>
          </w:tcPr>
          <w:p w:rsidR="00932B23" w:rsidRPr="000D229D" w:rsidRDefault="00932B23" w:rsidP="00932B23">
            <w:pPr>
              <w:autoSpaceDE w:val="0"/>
              <w:autoSpaceDN w:val="0"/>
              <w:adjustRightInd w:val="0"/>
              <w:ind w:left="60" w:right="60"/>
              <w:jc w:val="center"/>
              <w:rPr>
                <w:rFonts w:ascii="Times New Roman" w:hAnsi="Times New Roman" w:cs="Times New Roman"/>
                <w:sz w:val="20"/>
                <w:szCs w:val="20"/>
              </w:rPr>
            </w:pPr>
            <w:r w:rsidRPr="000D229D">
              <w:rPr>
                <w:rFonts w:ascii="Times New Roman" w:hAnsi="Times New Roman" w:cs="Times New Roman"/>
                <w:sz w:val="20"/>
                <w:szCs w:val="20"/>
              </w:rPr>
              <w:t>20(7.4)</w:t>
            </w:r>
          </w:p>
        </w:tc>
        <w:tc>
          <w:tcPr>
            <w:tcW w:w="657" w:type="pct"/>
            <w:vAlign w:val="center"/>
          </w:tcPr>
          <w:p w:rsidR="00932B23" w:rsidRPr="000D229D" w:rsidRDefault="00932B23" w:rsidP="00932B23">
            <w:pPr>
              <w:autoSpaceDE w:val="0"/>
              <w:autoSpaceDN w:val="0"/>
              <w:adjustRightInd w:val="0"/>
              <w:ind w:left="60" w:right="60"/>
              <w:jc w:val="center"/>
              <w:rPr>
                <w:rFonts w:ascii="Times New Roman" w:hAnsi="Times New Roman" w:cs="Times New Roman"/>
                <w:sz w:val="20"/>
                <w:szCs w:val="20"/>
              </w:rPr>
            </w:pPr>
            <w:r w:rsidRPr="000D229D">
              <w:rPr>
                <w:rFonts w:ascii="Times New Roman" w:hAnsi="Times New Roman" w:cs="Times New Roman"/>
                <w:sz w:val="20"/>
                <w:szCs w:val="20"/>
              </w:rPr>
              <w:t>66(24.5)</w:t>
            </w:r>
          </w:p>
        </w:tc>
        <w:tc>
          <w:tcPr>
            <w:tcW w:w="752" w:type="pct"/>
            <w:vAlign w:val="center"/>
          </w:tcPr>
          <w:p w:rsidR="00932B23" w:rsidRPr="000D229D" w:rsidRDefault="00932B23" w:rsidP="00932B23">
            <w:pPr>
              <w:autoSpaceDE w:val="0"/>
              <w:autoSpaceDN w:val="0"/>
              <w:adjustRightInd w:val="0"/>
              <w:ind w:left="60" w:right="60"/>
              <w:jc w:val="center"/>
              <w:rPr>
                <w:rFonts w:ascii="Times New Roman" w:hAnsi="Times New Roman" w:cs="Times New Roman"/>
                <w:sz w:val="20"/>
                <w:szCs w:val="20"/>
              </w:rPr>
            </w:pPr>
            <w:r w:rsidRPr="000D229D">
              <w:rPr>
                <w:rFonts w:ascii="Times New Roman" w:hAnsi="Times New Roman" w:cs="Times New Roman"/>
                <w:sz w:val="20"/>
                <w:szCs w:val="20"/>
              </w:rPr>
              <w:t>107(39.8)</w:t>
            </w:r>
          </w:p>
        </w:tc>
        <w:tc>
          <w:tcPr>
            <w:tcW w:w="592" w:type="pct"/>
            <w:vAlign w:val="center"/>
          </w:tcPr>
          <w:p w:rsidR="00932B23" w:rsidRPr="000D229D" w:rsidRDefault="00932B23" w:rsidP="00932B23">
            <w:pPr>
              <w:autoSpaceDE w:val="0"/>
              <w:autoSpaceDN w:val="0"/>
              <w:adjustRightInd w:val="0"/>
              <w:ind w:left="60" w:right="60"/>
              <w:jc w:val="center"/>
              <w:rPr>
                <w:rFonts w:ascii="Times New Roman" w:hAnsi="Times New Roman" w:cs="Times New Roman"/>
                <w:sz w:val="20"/>
                <w:szCs w:val="20"/>
              </w:rPr>
            </w:pPr>
            <w:r w:rsidRPr="000D229D">
              <w:rPr>
                <w:rFonts w:ascii="Times New Roman" w:hAnsi="Times New Roman" w:cs="Times New Roman"/>
                <w:sz w:val="20"/>
                <w:szCs w:val="20"/>
              </w:rPr>
              <w:t>58(21.6)</w:t>
            </w:r>
          </w:p>
        </w:tc>
        <w:tc>
          <w:tcPr>
            <w:tcW w:w="511" w:type="pct"/>
            <w:vAlign w:val="center"/>
          </w:tcPr>
          <w:p w:rsidR="00932B23" w:rsidRPr="000D229D" w:rsidRDefault="00932B23" w:rsidP="00932B23">
            <w:pPr>
              <w:autoSpaceDE w:val="0"/>
              <w:autoSpaceDN w:val="0"/>
              <w:adjustRightInd w:val="0"/>
              <w:ind w:left="60" w:right="60"/>
              <w:jc w:val="center"/>
              <w:rPr>
                <w:rFonts w:ascii="Times New Roman" w:hAnsi="Times New Roman" w:cs="Times New Roman"/>
                <w:sz w:val="20"/>
                <w:szCs w:val="20"/>
              </w:rPr>
            </w:pPr>
            <w:r w:rsidRPr="000D229D">
              <w:rPr>
                <w:rFonts w:ascii="Times New Roman" w:hAnsi="Times New Roman" w:cs="Times New Roman"/>
                <w:sz w:val="20"/>
                <w:szCs w:val="20"/>
              </w:rPr>
              <w:t>14(5.2)</w:t>
            </w:r>
          </w:p>
        </w:tc>
        <w:tc>
          <w:tcPr>
            <w:tcW w:w="465" w:type="pct"/>
            <w:vAlign w:val="center"/>
          </w:tcPr>
          <w:p w:rsidR="00932B23" w:rsidRPr="000D229D" w:rsidRDefault="00932B23" w:rsidP="00932B23">
            <w:pPr>
              <w:autoSpaceDE w:val="0"/>
              <w:autoSpaceDN w:val="0"/>
              <w:adjustRightInd w:val="0"/>
              <w:ind w:left="60" w:right="60"/>
              <w:jc w:val="center"/>
              <w:rPr>
                <w:rFonts w:ascii="Times New Roman" w:hAnsi="Times New Roman" w:cs="Times New Roman"/>
                <w:sz w:val="20"/>
                <w:szCs w:val="20"/>
              </w:rPr>
            </w:pPr>
            <w:r w:rsidRPr="000D229D">
              <w:rPr>
                <w:rFonts w:ascii="Times New Roman" w:hAnsi="Times New Roman" w:cs="Times New Roman"/>
                <w:sz w:val="20"/>
                <w:szCs w:val="20"/>
              </w:rPr>
              <w:t>4(1.5)</w:t>
            </w:r>
          </w:p>
        </w:tc>
        <w:tc>
          <w:tcPr>
            <w:tcW w:w="465"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0(0.0)</w:t>
            </w:r>
          </w:p>
        </w:tc>
        <w:tc>
          <w:tcPr>
            <w:tcW w:w="420" w:type="pct"/>
            <w:vAlign w:val="center"/>
          </w:tcPr>
          <w:p w:rsidR="00932B23" w:rsidRPr="000D229D" w:rsidRDefault="00932B23" w:rsidP="00932B23">
            <w:pPr>
              <w:autoSpaceDE w:val="0"/>
              <w:autoSpaceDN w:val="0"/>
              <w:adjustRightInd w:val="0"/>
              <w:ind w:left="60" w:right="60"/>
              <w:jc w:val="center"/>
              <w:rPr>
                <w:rFonts w:ascii="Times New Roman" w:hAnsi="Times New Roman" w:cs="Times New Roman"/>
                <w:sz w:val="20"/>
                <w:szCs w:val="20"/>
              </w:rPr>
            </w:pPr>
            <w:r w:rsidRPr="000D229D">
              <w:rPr>
                <w:rFonts w:ascii="Times New Roman" w:hAnsi="Times New Roman" w:cs="Times New Roman"/>
                <w:sz w:val="20"/>
                <w:szCs w:val="20"/>
              </w:rPr>
              <w:t>269</w:t>
            </w:r>
          </w:p>
        </w:tc>
      </w:tr>
    </w:tbl>
    <w:p w:rsidR="00932B23" w:rsidRPr="00D2710A" w:rsidRDefault="00932B23" w:rsidP="00711048">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Results on m</w:t>
      </w:r>
      <w:r w:rsidRPr="004B4ECB">
        <w:rPr>
          <w:rFonts w:ascii="Times New Roman" w:hAnsi="Times New Roman" w:cs="Times New Roman"/>
          <w:sz w:val="24"/>
          <w:szCs w:val="24"/>
        </w:rPr>
        <w:t>inimum acceptable dietary diversity</w:t>
      </w:r>
      <w:r>
        <w:rPr>
          <w:rFonts w:ascii="Times New Roman" w:hAnsi="Times New Roman" w:cs="Times New Roman"/>
          <w:sz w:val="24"/>
          <w:szCs w:val="24"/>
        </w:rPr>
        <w:t xml:space="preserve"> score shows the number and proportion of children who consumed at least four food groups the previous day within different age groups. The total number of c</w:t>
      </w:r>
      <w:r w:rsidRPr="00D74969">
        <w:rPr>
          <w:rFonts w:ascii="Times New Roman" w:hAnsi="Times New Roman" w:cs="Times New Roman"/>
          <w:sz w:val="24"/>
          <w:szCs w:val="24"/>
        </w:rPr>
        <w:t xml:space="preserve">hildren </w:t>
      </w:r>
      <w:r>
        <w:rPr>
          <w:rFonts w:ascii="Times New Roman" w:hAnsi="Times New Roman" w:cs="Times New Roman"/>
          <w:sz w:val="24"/>
          <w:szCs w:val="24"/>
        </w:rPr>
        <w:t xml:space="preserve">who </w:t>
      </w:r>
      <w:r w:rsidRPr="00D74969">
        <w:rPr>
          <w:rFonts w:ascii="Times New Roman" w:hAnsi="Times New Roman" w:cs="Times New Roman"/>
          <w:sz w:val="24"/>
          <w:szCs w:val="24"/>
        </w:rPr>
        <w:t>had a dietary diversity score of four</w:t>
      </w:r>
      <w:r>
        <w:rPr>
          <w:rFonts w:ascii="Times New Roman" w:hAnsi="Times New Roman" w:cs="Times New Roman"/>
          <w:sz w:val="24"/>
          <w:szCs w:val="24"/>
        </w:rPr>
        <w:t xml:space="preserve"> and above were 28.3%/n=76,</w:t>
      </w:r>
      <w:r w:rsidRPr="00D74969">
        <w:rPr>
          <w:rFonts w:ascii="Times New Roman" w:hAnsi="Times New Roman" w:cs="Times New Roman"/>
          <w:sz w:val="24"/>
          <w:szCs w:val="24"/>
        </w:rPr>
        <w:t xml:space="preserve"> with urban and rural having 23.2%</w:t>
      </w:r>
      <w:r>
        <w:rPr>
          <w:rFonts w:ascii="Times New Roman" w:hAnsi="Times New Roman" w:cs="Times New Roman"/>
          <w:sz w:val="24"/>
          <w:szCs w:val="24"/>
        </w:rPr>
        <w:t>/n=42</w:t>
      </w:r>
      <w:r w:rsidRPr="00D74969">
        <w:rPr>
          <w:rFonts w:ascii="Times New Roman" w:hAnsi="Times New Roman" w:cs="Times New Roman"/>
          <w:sz w:val="24"/>
          <w:szCs w:val="24"/>
        </w:rPr>
        <w:t xml:space="preserve"> and 38.6</w:t>
      </w:r>
      <w:r>
        <w:rPr>
          <w:rFonts w:ascii="Times New Roman" w:hAnsi="Times New Roman" w:cs="Times New Roman"/>
          <w:sz w:val="24"/>
          <w:szCs w:val="24"/>
        </w:rPr>
        <w:t>%/n=34</w:t>
      </w:r>
      <w:r w:rsidRPr="00D74969">
        <w:rPr>
          <w:rFonts w:ascii="Times New Roman" w:hAnsi="Times New Roman" w:cs="Times New Roman"/>
          <w:sz w:val="24"/>
          <w:szCs w:val="24"/>
        </w:rPr>
        <w:t xml:space="preserve"> correspondingly.</w:t>
      </w:r>
      <w:r>
        <w:rPr>
          <w:rFonts w:ascii="Times New Roman" w:hAnsi="Times New Roman" w:cs="Times New Roman"/>
          <w:i/>
          <w:sz w:val="24"/>
          <w:szCs w:val="24"/>
        </w:rPr>
        <w:t xml:space="preserve"> </w:t>
      </w:r>
      <w:r>
        <w:rPr>
          <w:rFonts w:ascii="Times New Roman" w:hAnsi="Times New Roman" w:cs="Times New Roman"/>
          <w:sz w:val="24"/>
          <w:szCs w:val="24"/>
        </w:rPr>
        <w:t xml:space="preserve">See Table </w:t>
      </w:r>
      <w:r w:rsidR="00047CA2">
        <w:rPr>
          <w:rFonts w:ascii="Times New Roman" w:hAnsi="Times New Roman" w:cs="Times New Roman"/>
          <w:sz w:val="24"/>
          <w:szCs w:val="24"/>
        </w:rPr>
        <w:t>6</w:t>
      </w:r>
    </w:p>
    <w:p w:rsidR="00932B23" w:rsidRPr="00E07FA6" w:rsidRDefault="00B92C4D" w:rsidP="00932B23">
      <w:pPr>
        <w:pStyle w:val="Heading4"/>
        <w:spacing w:line="480" w:lineRule="auto"/>
        <w:rPr>
          <w:rFonts w:ascii="Times New Roman" w:hAnsi="Times New Roman" w:cs="Times New Roman"/>
          <w:i w:val="0"/>
          <w:color w:val="auto"/>
          <w:sz w:val="24"/>
          <w:szCs w:val="24"/>
        </w:rPr>
      </w:pPr>
      <w:bookmarkStart w:id="12" w:name="_Toc5363713"/>
      <w:bookmarkStart w:id="13" w:name="_Toc14839549"/>
      <w:r>
        <w:rPr>
          <w:rFonts w:ascii="Times New Roman" w:hAnsi="Times New Roman" w:cs="Times New Roman"/>
          <w:i w:val="0"/>
          <w:color w:val="auto"/>
          <w:sz w:val="24"/>
          <w:szCs w:val="24"/>
        </w:rPr>
        <w:t>Table 6</w:t>
      </w:r>
      <w:r w:rsidR="00932B23">
        <w:rPr>
          <w:rFonts w:ascii="Times New Roman" w:hAnsi="Times New Roman" w:cs="Times New Roman"/>
          <w:i w:val="0"/>
          <w:color w:val="auto"/>
          <w:sz w:val="24"/>
          <w:szCs w:val="24"/>
        </w:rPr>
        <w:t>: Low and Minimum dietary diversity score</w:t>
      </w:r>
      <w:bookmarkEnd w:id="12"/>
      <w:r w:rsidR="00932B23">
        <w:rPr>
          <w:rFonts w:ascii="Times New Roman" w:hAnsi="Times New Roman" w:cs="Times New Roman"/>
          <w:i w:val="0"/>
          <w:color w:val="auto"/>
          <w:sz w:val="24"/>
          <w:szCs w:val="24"/>
        </w:rPr>
        <w:t xml:space="preserve"> for children 6-23 months</w:t>
      </w:r>
      <w:bookmarkEnd w:id="13"/>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1134"/>
        <w:gridCol w:w="1452"/>
        <w:gridCol w:w="1348"/>
        <w:gridCol w:w="1660"/>
        <w:gridCol w:w="1348"/>
        <w:gridCol w:w="1161"/>
      </w:tblGrid>
      <w:tr w:rsidR="00932B23" w:rsidRPr="000D229D" w:rsidTr="00932B23">
        <w:tc>
          <w:tcPr>
            <w:tcW w:w="769" w:type="pct"/>
            <w:vMerge w:val="restart"/>
            <w:tcBorders>
              <w:top w:val="single" w:sz="4" w:space="0" w:color="auto"/>
              <w:bottom w:val="nil"/>
            </w:tcBorders>
          </w:tcPr>
          <w:p w:rsidR="00932B23" w:rsidRPr="000D229D" w:rsidRDefault="00932B23" w:rsidP="00932B23">
            <w:pPr>
              <w:rPr>
                <w:rFonts w:ascii="Times New Roman" w:hAnsi="Times New Roman" w:cs="Times New Roman"/>
                <w:sz w:val="20"/>
                <w:szCs w:val="20"/>
              </w:rPr>
            </w:pPr>
            <w:r w:rsidRPr="000D229D">
              <w:rPr>
                <w:rFonts w:ascii="Times New Roman" w:hAnsi="Times New Roman" w:cs="Times New Roman"/>
                <w:sz w:val="20"/>
                <w:szCs w:val="20"/>
              </w:rPr>
              <w:t>Residence</w:t>
            </w:r>
          </w:p>
        </w:tc>
        <w:tc>
          <w:tcPr>
            <w:tcW w:w="592" w:type="pct"/>
            <w:vMerge w:val="restart"/>
            <w:tcBorders>
              <w:top w:val="single" w:sz="4" w:space="0" w:color="auto"/>
              <w:bottom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Childs age in months</w:t>
            </w:r>
          </w:p>
        </w:tc>
        <w:tc>
          <w:tcPr>
            <w:tcW w:w="3033" w:type="pct"/>
            <w:gridSpan w:val="4"/>
            <w:tcBorders>
              <w:top w:val="single" w:sz="4" w:space="0" w:color="auto"/>
              <w:bottom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Dietary diversity score </w:t>
            </w:r>
          </w:p>
        </w:tc>
        <w:tc>
          <w:tcPr>
            <w:tcW w:w="606" w:type="pct"/>
            <w:tcBorders>
              <w:top w:val="single" w:sz="4" w:space="0" w:color="auto"/>
              <w:bottom w:val="nil"/>
            </w:tcBorders>
          </w:tcPr>
          <w:p w:rsidR="00932B23" w:rsidRPr="000D229D" w:rsidRDefault="00932B23" w:rsidP="00932B23">
            <w:pPr>
              <w:jc w:val="center"/>
              <w:rPr>
                <w:rFonts w:ascii="Times New Roman" w:hAnsi="Times New Roman" w:cs="Times New Roman"/>
                <w:sz w:val="20"/>
                <w:szCs w:val="20"/>
              </w:rPr>
            </w:pPr>
          </w:p>
        </w:tc>
      </w:tr>
      <w:tr w:rsidR="00932B23" w:rsidRPr="000D229D" w:rsidTr="00932B23">
        <w:tc>
          <w:tcPr>
            <w:tcW w:w="769" w:type="pct"/>
            <w:vMerge/>
            <w:tcBorders>
              <w:top w:val="nil"/>
              <w:bottom w:val="single" w:sz="4" w:space="0" w:color="auto"/>
            </w:tcBorders>
          </w:tcPr>
          <w:p w:rsidR="00932B23" w:rsidRPr="000D229D" w:rsidRDefault="00932B23" w:rsidP="00932B23">
            <w:pPr>
              <w:rPr>
                <w:rFonts w:ascii="Times New Roman" w:hAnsi="Times New Roman" w:cs="Times New Roman"/>
                <w:sz w:val="20"/>
                <w:szCs w:val="20"/>
              </w:rPr>
            </w:pPr>
          </w:p>
        </w:tc>
        <w:tc>
          <w:tcPr>
            <w:tcW w:w="592" w:type="pct"/>
            <w:vMerge/>
            <w:tcBorders>
              <w:top w:val="nil"/>
              <w:bottom w:val="single" w:sz="4" w:space="0" w:color="auto"/>
            </w:tcBorders>
          </w:tcPr>
          <w:p w:rsidR="00932B23" w:rsidRPr="000D229D" w:rsidRDefault="00932B23" w:rsidP="00932B23">
            <w:pPr>
              <w:jc w:val="center"/>
              <w:rPr>
                <w:rFonts w:ascii="Times New Roman" w:hAnsi="Times New Roman" w:cs="Times New Roman"/>
                <w:sz w:val="20"/>
                <w:szCs w:val="20"/>
              </w:rPr>
            </w:pPr>
          </w:p>
        </w:tc>
        <w:tc>
          <w:tcPr>
            <w:tcW w:w="758" w:type="pct"/>
            <w:tcBorders>
              <w:top w:val="nil"/>
              <w:bottom w:val="single" w:sz="4" w:space="0" w:color="auto"/>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1</w:t>
            </w:r>
          </w:p>
          <w:p w:rsidR="00932B23" w:rsidRPr="000D229D" w:rsidRDefault="00932B23" w:rsidP="00932B23">
            <w:pPr>
              <w:rPr>
                <w:rFonts w:ascii="Times New Roman" w:hAnsi="Times New Roman" w:cs="Times New Roman"/>
                <w:sz w:val="20"/>
                <w:szCs w:val="20"/>
              </w:rPr>
            </w:pPr>
            <w:r w:rsidRPr="000D229D">
              <w:rPr>
                <w:rFonts w:ascii="Times New Roman" w:hAnsi="Times New Roman" w:cs="Times New Roman"/>
                <w:sz w:val="20"/>
                <w:szCs w:val="20"/>
              </w:rPr>
              <w:t xml:space="preserve">     n(%)</w:t>
            </w:r>
          </w:p>
        </w:tc>
        <w:tc>
          <w:tcPr>
            <w:tcW w:w="704" w:type="pct"/>
            <w:tcBorders>
              <w:top w:val="nil"/>
              <w:bottom w:val="single" w:sz="4" w:space="0" w:color="auto"/>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2</w:t>
            </w:r>
          </w:p>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w:t>
            </w:r>
          </w:p>
        </w:tc>
        <w:tc>
          <w:tcPr>
            <w:tcW w:w="867" w:type="pct"/>
            <w:tcBorders>
              <w:top w:val="nil"/>
              <w:bottom w:val="single" w:sz="4" w:space="0" w:color="auto"/>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3</w:t>
            </w:r>
          </w:p>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w:t>
            </w:r>
          </w:p>
        </w:tc>
        <w:tc>
          <w:tcPr>
            <w:tcW w:w="704" w:type="pct"/>
            <w:tcBorders>
              <w:top w:val="nil"/>
              <w:bottom w:val="single" w:sz="4" w:space="0" w:color="auto"/>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≥4</w:t>
            </w:r>
          </w:p>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w:t>
            </w:r>
          </w:p>
        </w:tc>
        <w:tc>
          <w:tcPr>
            <w:tcW w:w="606" w:type="pct"/>
            <w:tcBorders>
              <w:top w:val="nil"/>
              <w:bottom w:val="single" w:sz="4" w:space="0" w:color="auto"/>
            </w:tcBorders>
          </w:tcPr>
          <w:p w:rsidR="00932B23" w:rsidRPr="000D229D" w:rsidRDefault="00932B23" w:rsidP="00932B23">
            <w:pPr>
              <w:jc w:val="center"/>
              <w:rPr>
                <w:rFonts w:ascii="Times New Roman" w:hAnsi="Times New Roman" w:cs="Times New Roman"/>
                <w:sz w:val="20"/>
                <w:szCs w:val="20"/>
              </w:rPr>
            </w:pPr>
          </w:p>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w:t>
            </w:r>
          </w:p>
        </w:tc>
      </w:tr>
      <w:tr w:rsidR="00932B23" w:rsidRPr="000D229D" w:rsidTr="00932B23">
        <w:trPr>
          <w:trHeight w:val="225"/>
        </w:trPr>
        <w:tc>
          <w:tcPr>
            <w:tcW w:w="769" w:type="pct"/>
            <w:vMerge w:val="restart"/>
            <w:tcBorders>
              <w:top w:val="single" w:sz="4" w:space="0" w:color="auto"/>
              <w:left w:val="nil"/>
              <w:bottom w:val="nil"/>
              <w:right w:val="nil"/>
            </w:tcBorders>
          </w:tcPr>
          <w:p w:rsidR="00932B23" w:rsidRPr="000D229D" w:rsidRDefault="00932B23" w:rsidP="00932B23">
            <w:pPr>
              <w:rPr>
                <w:rFonts w:ascii="Times New Roman" w:hAnsi="Times New Roman" w:cs="Times New Roman"/>
                <w:sz w:val="20"/>
                <w:szCs w:val="20"/>
              </w:rPr>
            </w:pPr>
            <w:r w:rsidRPr="000D229D">
              <w:rPr>
                <w:rFonts w:ascii="Times New Roman" w:hAnsi="Times New Roman" w:cs="Times New Roman"/>
                <w:sz w:val="20"/>
                <w:szCs w:val="20"/>
              </w:rPr>
              <w:t>Urban</w:t>
            </w:r>
          </w:p>
        </w:tc>
        <w:tc>
          <w:tcPr>
            <w:tcW w:w="592" w:type="pct"/>
            <w:tcBorders>
              <w:top w:val="single" w:sz="4" w:space="0" w:color="auto"/>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6-11</w:t>
            </w:r>
          </w:p>
        </w:tc>
        <w:tc>
          <w:tcPr>
            <w:tcW w:w="758" w:type="pct"/>
            <w:tcBorders>
              <w:top w:val="single" w:sz="4" w:space="0" w:color="auto"/>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5(8.8)</w:t>
            </w:r>
          </w:p>
        </w:tc>
        <w:tc>
          <w:tcPr>
            <w:tcW w:w="704" w:type="pct"/>
            <w:tcBorders>
              <w:top w:val="single" w:sz="4" w:space="0" w:color="auto"/>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12(21.1)</w:t>
            </w:r>
          </w:p>
        </w:tc>
        <w:tc>
          <w:tcPr>
            <w:tcW w:w="867" w:type="pct"/>
            <w:tcBorders>
              <w:top w:val="single" w:sz="4" w:space="0" w:color="auto"/>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29(50.9)</w:t>
            </w:r>
          </w:p>
        </w:tc>
        <w:tc>
          <w:tcPr>
            <w:tcW w:w="704" w:type="pct"/>
            <w:tcBorders>
              <w:top w:val="single" w:sz="4" w:space="0" w:color="auto"/>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11(19.3)</w:t>
            </w:r>
          </w:p>
        </w:tc>
        <w:tc>
          <w:tcPr>
            <w:tcW w:w="606" w:type="pct"/>
            <w:tcBorders>
              <w:top w:val="single" w:sz="4" w:space="0" w:color="auto"/>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57</w:t>
            </w:r>
          </w:p>
        </w:tc>
      </w:tr>
      <w:tr w:rsidR="00932B23" w:rsidRPr="000D229D" w:rsidTr="00932B23">
        <w:tc>
          <w:tcPr>
            <w:tcW w:w="769" w:type="pct"/>
            <w:vMerge/>
            <w:tcBorders>
              <w:top w:val="nil"/>
              <w:left w:val="nil"/>
              <w:bottom w:val="nil"/>
              <w:right w:val="nil"/>
            </w:tcBorders>
          </w:tcPr>
          <w:p w:rsidR="00932B23" w:rsidRPr="000D229D" w:rsidRDefault="00932B23" w:rsidP="00932B23">
            <w:pPr>
              <w:rPr>
                <w:rFonts w:ascii="Times New Roman" w:hAnsi="Times New Roman" w:cs="Times New Roman"/>
                <w:sz w:val="20"/>
                <w:szCs w:val="20"/>
              </w:rPr>
            </w:pPr>
          </w:p>
        </w:tc>
        <w:tc>
          <w:tcPr>
            <w:tcW w:w="592" w:type="pct"/>
            <w:tcBorders>
              <w:top w:val="nil"/>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12-17</w:t>
            </w:r>
          </w:p>
        </w:tc>
        <w:tc>
          <w:tcPr>
            <w:tcW w:w="758" w:type="pct"/>
            <w:tcBorders>
              <w:top w:val="nil"/>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4(6.6)</w:t>
            </w:r>
          </w:p>
        </w:tc>
        <w:tc>
          <w:tcPr>
            <w:tcW w:w="704" w:type="pct"/>
            <w:tcBorders>
              <w:top w:val="nil"/>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24(39.3)</w:t>
            </w:r>
          </w:p>
        </w:tc>
        <w:tc>
          <w:tcPr>
            <w:tcW w:w="867" w:type="pct"/>
            <w:tcBorders>
              <w:top w:val="nil"/>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20(32.8)</w:t>
            </w:r>
          </w:p>
        </w:tc>
        <w:tc>
          <w:tcPr>
            <w:tcW w:w="704" w:type="pct"/>
            <w:tcBorders>
              <w:top w:val="nil"/>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13(21.3)</w:t>
            </w:r>
          </w:p>
        </w:tc>
        <w:tc>
          <w:tcPr>
            <w:tcW w:w="606" w:type="pct"/>
            <w:tcBorders>
              <w:top w:val="nil"/>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61</w:t>
            </w:r>
          </w:p>
        </w:tc>
      </w:tr>
      <w:tr w:rsidR="00932B23" w:rsidRPr="000D229D" w:rsidTr="00932B23">
        <w:tc>
          <w:tcPr>
            <w:tcW w:w="769" w:type="pct"/>
            <w:vMerge/>
            <w:tcBorders>
              <w:top w:val="nil"/>
              <w:left w:val="nil"/>
              <w:bottom w:val="nil"/>
              <w:right w:val="nil"/>
            </w:tcBorders>
          </w:tcPr>
          <w:p w:rsidR="00932B23" w:rsidRPr="000D229D" w:rsidRDefault="00932B23" w:rsidP="00932B23">
            <w:pPr>
              <w:rPr>
                <w:rFonts w:ascii="Times New Roman" w:hAnsi="Times New Roman" w:cs="Times New Roman"/>
                <w:sz w:val="20"/>
                <w:szCs w:val="20"/>
              </w:rPr>
            </w:pPr>
          </w:p>
        </w:tc>
        <w:tc>
          <w:tcPr>
            <w:tcW w:w="592" w:type="pct"/>
            <w:tcBorders>
              <w:top w:val="nil"/>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18-23</w:t>
            </w:r>
          </w:p>
        </w:tc>
        <w:tc>
          <w:tcPr>
            <w:tcW w:w="758" w:type="pct"/>
            <w:tcBorders>
              <w:top w:val="nil"/>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1(1.6)</w:t>
            </w:r>
          </w:p>
        </w:tc>
        <w:tc>
          <w:tcPr>
            <w:tcW w:w="704" w:type="pct"/>
            <w:tcBorders>
              <w:top w:val="nil"/>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17(27.0)</w:t>
            </w:r>
          </w:p>
        </w:tc>
        <w:tc>
          <w:tcPr>
            <w:tcW w:w="867" w:type="pct"/>
            <w:tcBorders>
              <w:top w:val="nil"/>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27(42.9)</w:t>
            </w:r>
          </w:p>
        </w:tc>
        <w:tc>
          <w:tcPr>
            <w:tcW w:w="704" w:type="pct"/>
            <w:tcBorders>
              <w:top w:val="nil"/>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18(28.6)</w:t>
            </w:r>
          </w:p>
        </w:tc>
        <w:tc>
          <w:tcPr>
            <w:tcW w:w="606" w:type="pct"/>
            <w:tcBorders>
              <w:top w:val="nil"/>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63</w:t>
            </w:r>
          </w:p>
        </w:tc>
      </w:tr>
      <w:tr w:rsidR="00932B23" w:rsidRPr="000D229D" w:rsidTr="00932B23">
        <w:trPr>
          <w:trHeight w:val="360"/>
        </w:trPr>
        <w:tc>
          <w:tcPr>
            <w:tcW w:w="769" w:type="pct"/>
            <w:vMerge/>
            <w:tcBorders>
              <w:top w:val="nil"/>
              <w:left w:val="nil"/>
              <w:bottom w:val="nil"/>
              <w:right w:val="nil"/>
            </w:tcBorders>
          </w:tcPr>
          <w:p w:rsidR="00932B23" w:rsidRPr="000D229D" w:rsidRDefault="00932B23" w:rsidP="00932B23">
            <w:pPr>
              <w:rPr>
                <w:rFonts w:ascii="Times New Roman" w:hAnsi="Times New Roman" w:cs="Times New Roman"/>
                <w:sz w:val="20"/>
                <w:szCs w:val="20"/>
              </w:rPr>
            </w:pPr>
          </w:p>
        </w:tc>
        <w:tc>
          <w:tcPr>
            <w:tcW w:w="592" w:type="pct"/>
            <w:tcBorders>
              <w:top w:val="nil"/>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6-23</w:t>
            </w:r>
          </w:p>
        </w:tc>
        <w:tc>
          <w:tcPr>
            <w:tcW w:w="758" w:type="pct"/>
            <w:tcBorders>
              <w:top w:val="nil"/>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10(5.5)</w:t>
            </w:r>
          </w:p>
        </w:tc>
        <w:tc>
          <w:tcPr>
            <w:tcW w:w="704" w:type="pct"/>
            <w:tcBorders>
              <w:top w:val="nil"/>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53(29.3)</w:t>
            </w:r>
          </w:p>
        </w:tc>
        <w:tc>
          <w:tcPr>
            <w:tcW w:w="867" w:type="pct"/>
            <w:tcBorders>
              <w:top w:val="nil"/>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76(42.0)</w:t>
            </w:r>
          </w:p>
        </w:tc>
        <w:tc>
          <w:tcPr>
            <w:tcW w:w="704" w:type="pct"/>
            <w:tcBorders>
              <w:top w:val="nil"/>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42(23.2)</w:t>
            </w:r>
          </w:p>
        </w:tc>
        <w:tc>
          <w:tcPr>
            <w:tcW w:w="606" w:type="pct"/>
            <w:tcBorders>
              <w:top w:val="nil"/>
              <w:left w:val="nil"/>
              <w:bottom w:val="nil"/>
              <w:right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181</w:t>
            </w:r>
          </w:p>
        </w:tc>
      </w:tr>
      <w:tr w:rsidR="00932B23" w:rsidRPr="000D229D" w:rsidTr="00932B23">
        <w:tc>
          <w:tcPr>
            <w:tcW w:w="769" w:type="pct"/>
            <w:vMerge w:val="restart"/>
            <w:tcBorders>
              <w:top w:val="nil"/>
            </w:tcBorders>
          </w:tcPr>
          <w:p w:rsidR="00932B23" w:rsidRPr="000D229D" w:rsidRDefault="00932B23" w:rsidP="00932B23">
            <w:pPr>
              <w:rPr>
                <w:rFonts w:ascii="Times New Roman" w:hAnsi="Times New Roman" w:cs="Times New Roman"/>
                <w:sz w:val="20"/>
                <w:szCs w:val="20"/>
              </w:rPr>
            </w:pPr>
            <w:r w:rsidRPr="000D229D">
              <w:rPr>
                <w:rFonts w:ascii="Times New Roman" w:hAnsi="Times New Roman" w:cs="Times New Roman"/>
                <w:sz w:val="20"/>
                <w:szCs w:val="20"/>
              </w:rPr>
              <w:t>Rural</w:t>
            </w:r>
          </w:p>
        </w:tc>
        <w:tc>
          <w:tcPr>
            <w:tcW w:w="592" w:type="pct"/>
            <w:tcBorders>
              <w:top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6-11</w:t>
            </w:r>
          </w:p>
        </w:tc>
        <w:tc>
          <w:tcPr>
            <w:tcW w:w="758" w:type="pct"/>
            <w:tcBorders>
              <w:top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1(4.8)</w:t>
            </w:r>
          </w:p>
        </w:tc>
        <w:tc>
          <w:tcPr>
            <w:tcW w:w="704" w:type="pct"/>
            <w:tcBorders>
              <w:top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5(23.8)</w:t>
            </w:r>
          </w:p>
        </w:tc>
        <w:tc>
          <w:tcPr>
            <w:tcW w:w="867" w:type="pct"/>
            <w:tcBorders>
              <w:top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7(33.3)</w:t>
            </w:r>
          </w:p>
        </w:tc>
        <w:tc>
          <w:tcPr>
            <w:tcW w:w="704" w:type="pct"/>
            <w:tcBorders>
              <w:top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8(38.1)</w:t>
            </w:r>
          </w:p>
        </w:tc>
        <w:tc>
          <w:tcPr>
            <w:tcW w:w="606" w:type="pct"/>
            <w:tcBorders>
              <w:top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21</w:t>
            </w:r>
          </w:p>
        </w:tc>
      </w:tr>
      <w:tr w:rsidR="00932B23" w:rsidRPr="000D229D" w:rsidTr="00932B23">
        <w:tc>
          <w:tcPr>
            <w:tcW w:w="769" w:type="pct"/>
            <w:vMerge/>
          </w:tcPr>
          <w:p w:rsidR="00932B23" w:rsidRPr="000D229D" w:rsidRDefault="00932B23" w:rsidP="00932B23">
            <w:pPr>
              <w:rPr>
                <w:rFonts w:ascii="Times New Roman" w:hAnsi="Times New Roman" w:cs="Times New Roman"/>
                <w:sz w:val="20"/>
                <w:szCs w:val="20"/>
              </w:rPr>
            </w:pPr>
          </w:p>
        </w:tc>
        <w:tc>
          <w:tcPr>
            <w:tcW w:w="592"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12-17</w:t>
            </w:r>
          </w:p>
        </w:tc>
        <w:tc>
          <w:tcPr>
            <w:tcW w:w="758"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5(15.2)</w:t>
            </w:r>
          </w:p>
        </w:tc>
        <w:tc>
          <w:tcPr>
            <w:tcW w:w="704"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2(6.1)</w:t>
            </w:r>
          </w:p>
        </w:tc>
        <w:tc>
          <w:tcPr>
            <w:tcW w:w="867"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16(48.5)</w:t>
            </w:r>
          </w:p>
        </w:tc>
        <w:tc>
          <w:tcPr>
            <w:tcW w:w="704"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10(30.3)</w:t>
            </w:r>
          </w:p>
        </w:tc>
        <w:tc>
          <w:tcPr>
            <w:tcW w:w="606"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33</w:t>
            </w:r>
          </w:p>
        </w:tc>
      </w:tr>
      <w:tr w:rsidR="00932B23" w:rsidRPr="000D229D" w:rsidTr="00932B23">
        <w:tc>
          <w:tcPr>
            <w:tcW w:w="769" w:type="pct"/>
            <w:vMerge/>
          </w:tcPr>
          <w:p w:rsidR="00932B23" w:rsidRPr="000D229D" w:rsidRDefault="00932B23" w:rsidP="00932B23">
            <w:pPr>
              <w:rPr>
                <w:rFonts w:ascii="Times New Roman" w:hAnsi="Times New Roman" w:cs="Times New Roman"/>
                <w:sz w:val="20"/>
                <w:szCs w:val="20"/>
              </w:rPr>
            </w:pPr>
          </w:p>
        </w:tc>
        <w:tc>
          <w:tcPr>
            <w:tcW w:w="592"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18-23</w:t>
            </w:r>
          </w:p>
        </w:tc>
        <w:tc>
          <w:tcPr>
            <w:tcW w:w="758"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4(11.8)</w:t>
            </w:r>
          </w:p>
        </w:tc>
        <w:tc>
          <w:tcPr>
            <w:tcW w:w="704"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6(17.6)</w:t>
            </w:r>
          </w:p>
        </w:tc>
        <w:tc>
          <w:tcPr>
            <w:tcW w:w="867"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8(23.5)</w:t>
            </w:r>
          </w:p>
        </w:tc>
        <w:tc>
          <w:tcPr>
            <w:tcW w:w="704"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16(47.1)</w:t>
            </w:r>
          </w:p>
        </w:tc>
        <w:tc>
          <w:tcPr>
            <w:tcW w:w="606"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34</w:t>
            </w:r>
          </w:p>
        </w:tc>
      </w:tr>
      <w:tr w:rsidR="00932B23" w:rsidRPr="000D229D" w:rsidTr="00932B23">
        <w:trPr>
          <w:trHeight w:val="333"/>
        </w:trPr>
        <w:tc>
          <w:tcPr>
            <w:tcW w:w="769" w:type="pct"/>
            <w:vMerge/>
          </w:tcPr>
          <w:p w:rsidR="00932B23" w:rsidRPr="000D229D" w:rsidRDefault="00932B23" w:rsidP="00932B23">
            <w:pPr>
              <w:rPr>
                <w:rFonts w:ascii="Times New Roman" w:hAnsi="Times New Roman" w:cs="Times New Roman"/>
                <w:sz w:val="20"/>
                <w:szCs w:val="20"/>
              </w:rPr>
            </w:pPr>
          </w:p>
        </w:tc>
        <w:tc>
          <w:tcPr>
            <w:tcW w:w="592"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6-23</w:t>
            </w:r>
          </w:p>
        </w:tc>
        <w:tc>
          <w:tcPr>
            <w:tcW w:w="758"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10(11.4)</w:t>
            </w:r>
          </w:p>
        </w:tc>
        <w:tc>
          <w:tcPr>
            <w:tcW w:w="704"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13(14.8)</w:t>
            </w:r>
          </w:p>
        </w:tc>
        <w:tc>
          <w:tcPr>
            <w:tcW w:w="867"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31(35.2)</w:t>
            </w:r>
          </w:p>
        </w:tc>
        <w:tc>
          <w:tcPr>
            <w:tcW w:w="704"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34(38.6)</w:t>
            </w:r>
          </w:p>
        </w:tc>
        <w:tc>
          <w:tcPr>
            <w:tcW w:w="606"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88</w:t>
            </w:r>
          </w:p>
        </w:tc>
      </w:tr>
      <w:tr w:rsidR="00932B23" w:rsidRPr="000D229D" w:rsidTr="00932B23">
        <w:tc>
          <w:tcPr>
            <w:tcW w:w="769" w:type="pct"/>
            <w:vMerge w:val="restart"/>
          </w:tcPr>
          <w:p w:rsidR="00932B23" w:rsidRPr="000D229D" w:rsidRDefault="00932B23" w:rsidP="00932B23">
            <w:pPr>
              <w:rPr>
                <w:rFonts w:ascii="Times New Roman" w:hAnsi="Times New Roman" w:cs="Times New Roman"/>
                <w:sz w:val="20"/>
                <w:szCs w:val="20"/>
              </w:rPr>
            </w:pPr>
            <w:r w:rsidRPr="000D229D">
              <w:rPr>
                <w:rFonts w:ascii="Times New Roman" w:hAnsi="Times New Roman" w:cs="Times New Roman"/>
                <w:sz w:val="20"/>
                <w:szCs w:val="20"/>
              </w:rPr>
              <w:t>Total</w:t>
            </w:r>
          </w:p>
        </w:tc>
        <w:tc>
          <w:tcPr>
            <w:tcW w:w="592"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6-11</w:t>
            </w:r>
          </w:p>
        </w:tc>
        <w:tc>
          <w:tcPr>
            <w:tcW w:w="758"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6(7.7)</w:t>
            </w:r>
          </w:p>
        </w:tc>
        <w:tc>
          <w:tcPr>
            <w:tcW w:w="704"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17(21.8)</w:t>
            </w:r>
          </w:p>
        </w:tc>
        <w:tc>
          <w:tcPr>
            <w:tcW w:w="867"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36(46.2)</w:t>
            </w:r>
          </w:p>
        </w:tc>
        <w:tc>
          <w:tcPr>
            <w:tcW w:w="704"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19(24.4)</w:t>
            </w:r>
          </w:p>
        </w:tc>
        <w:tc>
          <w:tcPr>
            <w:tcW w:w="606"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78</w:t>
            </w:r>
          </w:p>
        </w:tc>
      </w:tr>
      <w:tr w:rsidR="00932B23" w:rsidRPr="000D229D" w:rsidTr="00932B23">
        <w:tc>
          <w:tcPr>
            <w:tcW w:w="769" w:type="pct"/>
            <w:vMerge/>
          </w:tcPr>
          <w:p w:rsidR="00932B23" w:rsidRPr="000D229D" w:rsidRDefault="00932B23" w:rsidP="00932B23">
            <w:pPr>
              <w:rPr>
                <w:rFonts w:ascii="Times New Roman" w:hAnsi="Times New Roman" w:cs="Times New Roman"/>
                <w:sz w:val="20"/>
                <w:szCs w:val="20"/>
              </w:rPr>
            </w:pPr>
          </w:p>
        </w:tc>
        <w:tc>
          <w:tcPr>
            <w:tcW w:w="592"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12-17</w:t>
            </w:r>
          </w:p>
        </w:tc>
        <w:tc>
          <w:tcPr>
            <w:tcW w:w="758"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9(9.6)</w:t>
            </w:r>
          </w:p>
        </w:tc>
        <w:tc>
          <w:tcPr>
            <w:tcW w:w="704"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26(27.7)</w:t>
            </w:r>
          </w:p>
        </w:tc>
        <w:tc>
          <w:tcPr>
            <w:tcW w:w="867"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36(38.3)</w:t>
            </w:r>
          </w:p>
        </w:tc>
        <w:tc>
          <w:tcPr>
            <w:tcW w:w="704"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23(24.5)</w:t>
            </w:r>
          </w:p>
        </w:tc>
        <w:tc>
          <w:tcPr>
            <w:tcW w:w="606"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94</w:t>
            </w:r>
          </w:p>
        </w:tc>
      </w:tr>
      <w:tr w:rsidR="00932B23" w:rsidRPr="000D229D" w:rsidTr="00932B23">
        <w:tc>
          <w:tcPr>
            <w:tcW w:w="769" w:type="pct"/>
            <w:vMerge/>
          </w:tcPr>
          <w:p w:rsidR="00932B23" w:rsidRPr="000D229D" w:rsidRDefault="00932B23" w:rsidP="00932B23">
            <w:pPr>
              <w:rPr>
                <w:rFonts w:ascii="Times New Roman" w:hAnsi="Times New Roman" w:cs="Times New Roman"/>
                <w:sz w:val="20"/>
                <w:szCs w:val="20"/>
              </w:rPr>
            </w:pPr>
          </w:p>
        </w:tc>
        <w:tc>
          <w:tcPr>
            <w:tcW w:w="592"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18-23</w:t>
            </w:r>
          </w:p>
        </w:tc>
        <w:tc>
          <w:tcPr>
            <w:tcW w:w="758"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5(5.2)</w:t>
            </w:r>
          </w:p>
        </w:tc>
        <w:tc>
          <w:tcPr>
            <w:tcW w:w="704"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23(23.7)</w:t>
            </w:r>
          </w:p>
        </w:tc>
        <w:tc>
          <w:tcPr>
            <w:tcW w:w="867"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35(36.1)</w:t>
            </w:r>
          </w:p>
        </w:tc>
        <w:tc>
          <w:tcPr>
            <w:tcW w:w="704"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34(35.1)</w:t>
            </w:r>
          </w:p>
        </w:tc>
        <w:tc>
          <w:tcPr>
            <w:tcW w:w="606"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97</w:t>
            </w:r>
          </w:p>
        </w:tc>
      </w:tr>
      <w:tr w:rsidR="00932B23" w:rsidRPr="000D229D" w:rsidTr="00932B23">
        <w:tc>
          <w:tcPr>
            <w:tcW w:w="769" w:type="pct"/>
          </w:tcPr>
          <w:p w:rsidR="00932B23" w:rsidRPr="000D229D" w:rsidRDefault="00932B23" w:rsidP="00932B23">
            <w:pPr>
              <w:rPr>
                <w:rFonts w:ascii="Times New Roman" w:hAnsi="Times New Roman" w:cs="Times New Roman"/>
                <w:sz w:val="20"/>
                <w:szCs w:val="20"/>
              </w:rPr>
            </w:pPr>
          </w:p>
        </w:tc>
        <w:tc>
          <w:tcPr>
            <w:tcW w:w="592"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6-23</w:t>
            </w:r>
          </w:p>
        </w:tc>
        <w:tc>
          <w:tcPr>
            <w:tcW w:w="758"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20(7.4)</w:t>
            </w:r>
          </w:p>
        </w:tc>
        <w:tc>
          <w:tcPr>
            <w:tcW w:w="704"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66(24.5)</w:t>
            </w:r>
          </w:p>
        </w:tc>
        <w:tc>
          <w:tcPr>
            <w:tcW w:w="867"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107(39.8)</w:t>
            </w:r>
          </w:p>
        </w:tc>
        <w:tc>
          <w:tcPr>
            <w:tcW w:w="704"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76(28.3)</w:t>
            </w:r>
          </w:p>
        </w:tc>
        <w:tc>
          <w:tcPr>
            <w:tcW w:w="606"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269</w:t>
            </w:r>
          </w:p>
        </w:tc>
      </w:tr>
    </w:tbl>
    <w:p w:rsidR="00932B23" w:rsidRDefault="00932B23" w:rsidP="00932B23">
      <w:pPr>
        <w:rPr>
          <w:rFonts w:ascii="Times New Roman" w:hAnsi="Times New Roman" w:cs="Times New Roman"/>
          <w:sz w:val="24"/>
          <w:szCs w:val="24"/>
        </w:rPr>
      </w:pPr>
    </w:p>
    <w:p w:rsidR="00932B23" w:rsidRDefault="00DA4D1F" w:rsidP="000D229D">
      <w:pPr>
        <w:spacing w:after="0" w:line="360" w:lineRule="auto"/>
        <w:jc w:val="both"/>
        <w:rPr>
          <w:rFonts w:ascii="Times New Roman" w:hAnsi="Times New Roman" w:cs="Times New Roman"/>
          <w:sz w:val="24"/>
          <w:szCs w:val="24"/>
        </w:rPr>
      </w:pPr>
      <w:bookmarkStart w:id="14" w:name="_Toc5363714"/>
      <w:r>
        <w:rPr>
          <w:rFonts w:ascii="Times New Roman" w:hAnsi="Times New Roman" w:cs="Times New Roman"/>
          <w:sz w:val="24"/>
          <w:szCs w:val="24"/>
        </w:rPr>
        <w:t xml:space="preserve">The </w:t>
      </w:r>
      <w:r w:rsidR="00932B23">
        <w:rPr>
          <w:rFonts w:ascii="Times New Roman" w:hAnsi="Times New Roman" w:cs="Times New Roman"/>
          <w:sz w:val="24"/>
          <w:szCs w:val="24"/>
        </w:rPr>
        <w:t>place of residence and dietary diversity score showed a significant relationship with a Chi square value of (</w:t>
      </w:r>
      <w:r w:rsidR="00932B23" w:rsidRPr="00C43260">
        <w:rPr>
          <w:rFonts w:ascii="Times New Roman" w:hAnsi="Times New Roman" w:cs="Times New Roman"/>
          <w:sz w:val="24"/>
          <w:szCs w:val="24"/>
        </w:rPr>
        <w:t>χ</w:t>
      </w:r>
      <w:r w:rsidR="00932B23" w:rsidRPr="00351639">
        <w:rPr>
          <w:rFonts w:ascii="Times New Roman" w:hAnsi="Times New Roman" w:cs="Times New Roman"/>
          <w:sz w:val="24"/>
          <w:szCs w:val="24"/>
          <w:vertAlign w:val="superscript"/>
        </w:rPr>
        <w:t>2</w:t>
      </w:r>
      <w:r w:rsidR="00932B23">
        <w:rPr>
          <w:rFonts w:ascii="Times New Roman" w:hAnsi="Times New Roman" w:cs="Times New Roman"/>
          <w:sz w:val="24"/>
          <w:szCs w:val="24"/>
          <w:vertAlign w:val="superscript"/>
        </w:rPr>
        <w:t xml:space="preserve"> </w:t>
      </w:r>
      <w:r w:rsidR="00932B23" w:rsidRPr="00C43260">
        <w:rPr>
          <w:rFonts w:ascii="Times New Roman" w:hAnsi="Times New Roman" w:cs="Times New Roman"/>
          <w:sz w:val="24"/>
          <w:szCs w:val="24"/>
        </w:rPr>
        <w:t>13</w:t>
      </w:r>
      <w:r w:rsidR="00932B23">
        <w:rPr>
          <w:rFonts w:ascii="Times New Roman" w:hAnsi="Times New Roman" w:cs="Times New Roman"/>
          <w:sz w:val="24"/>
          <w:szCs w:val="24"/>
        </w:rPr>
        <w:t>.467, p=0.004). This means the place of residence influenced the number of food groups eaten with rural children being fed better than urban children. Children who received minimum acceptable diet of ≥4 food groups the previous day and night were at 38.6% /n=34, rural and 23.2%/n=42, urban. More of the urban children were fed between 2 and 3 food groups at 29.3%/n=53 and 42.0%/n</w:t>
      </w:r>
      <w:r w:rsidR="00047CA2">
        <w:rPr>
          <w:rFonts w:ascii="Times New Roman" w:hAnsi="Times New Roman" w:cs="Times New Roman"/>
          <w:sz w:val="24"/>
          <w:szCs w:val="24"/>
        </w:rPr>
        <w:t>=76 respectively. See Table 7</w:t>
      </w:r>
    </w:p>
    <w:p w:rsidR="00932B23" w:rsidRDefault="00932B23" w:rsidP="000D229D">
      <w:pPr>
        <w:spacing w:after="0" w:line="360" w:lineRule="auto"/>
        <w:jc w:val="both"/>
        <w:rPr>
          <w:rFonts w:ascii="Times New Roman" w:hAnsi="Times New Roman" w:cs="Times New Roman"/>
          <w:sz w:val="24"/>
          <w:szCs w:val="24"/>
        </w:rPr>
      </w:pPr>
    </w:p>
    <w:p w:rsidR="00932B23" w:rsidRPr="00DB18AE" w:rsidRDefault="00B92C4D" w:rsidP="00932B23">
      <w:pPr>
        <w:pStyle w:val="Heading4"/>
        <w:spacing w:before="0" w:line="480" w:lineRule="auto"/>
        <w:rPr>
          <w:rFonts w:ascii="Times New Roman" w:hAnsi="Times New Roman" w:cs="Times New Roman"/>
          <w:i w:val="0"/>
          <w:color w:val="auto"/>
          <w:sz w:val="24"/>
          <w:szCs w:val="24"/>
        </w:rPr>
      </w:pPr>
      <w:bookmarkStart w:id="15" w:name="_Toc14839550"/>
      <w:r>
        <w:rPr>
          <w:rFonts w:ascii="Times New Roman" w:hAnsi="Times New Roman" w:cs="Times New Roman"/>
          <w:i w:val="0"/>
          <w:color w:val="auto"/>
          <w:sz w:val="24"/>
          <w:szCs w:val="24"/>
        </w:rPr>
        <w:t>Table 7</w:t>
      </w:r>
      <w:r w:rsidR="00932B23" w:rsidRPr="00DB18AE">
        <w:rPr>
          <w:rFonts w:ascii="Times New Roman" w:hAnsi="Times New Roman" w:cs="Times New Roman"/>
          <w:i w:val="0"/>
          <w:color w:val="auto"/>
          <w:sz w:val="24"/>
          <w:szCs w:val="24"/>
        </w:rPr>
        <w:t>: Dietary Diversity Scores</w:t>
      </w:r>
      <w:r w:rsidR="00932B23">
        <w:rPr>
          <w:rFonts w:ascii="Times New Roman" w:hAnsi="Times New Roman" w:cs="Times New Roman"/>
          <w:i w:val="0"/>
          <w:color w:val="auto"/>
          <w:sz w:val="24"/>
          <w:szCs w:val="24"/>
        </w:rPr>
        <w:t xml:space="preserve"> for Rural and Urban areas</w:t>
      </w:r>
      <w:bookmarkEnd w:id="14"/>
      <w:bookmarkEnd w:id="15"/>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1898"/>
        <w:gridCol w:w="2157"/>
        <w:gridCol w:w="1867"/>
        <w:gridCol w:w="1662"/>
      </w:tblGrid>
      <w:tr w:rsidR="00932B23" w:rsidRPr="000D229D" w:rsidTr="00932B23">
        <w:trPr>
          <w:trHeight w:val="77"/>
        </w:trPr>
        <w:tc>
          <w:tcPr>
            <w:tcW w:w="1040" w:type="pct"/>
            <w:vMerge w:val="restart"/>
            <w:tcBorders>
              <w:top w:val="single" w:sz="4" w:space="0" w:color="auto"/>
              <w:bottom w:val="nil"/>
            </w:tcBorders>
          </w:tcPr>
          <w:p w:rsidR="00932B23" w:rsidRPr="000D229D" w:rsidRDefault="00932B23" w:rsidP="00932B23">
            <w:pPr>
              <w:jc w:val="both"/>
              <w:rPr>
                <w:rFonts w:ascii="Times New Roman" w:hAnsi="Times New Roman" w:cs="Times New Roman"/>
                <w:sz w:val="20"/>
                <w:szCs w:val="20"/>
              </w:rPr>
            </w:pPr>
          </w:p>
          <w:p w:rsidR="00932B23" w:rsidRPr="000D229D" w:rsidRDefault="00932B23" w:rsidP="00932B23">
            <w:pPr>
              <w:rPr>
                <w:rFonts w:ascii="Times New Roman" w:hAnsi="Times New Roman" w:cs="Times New Roman"/>
                <w:sz w:val="20"/>
                <w:szCs w:val="20"/>
              </w:rPr>
            </w:pPr>
            <w:r w:rsidRPr="000D229D">
              <w:rPr>
                <w:rFonts w:ascii="Times New Roman" w:hAnsi="Times New Roman" w:cs="Times New Roman"/>
                <w:sz w:val="20"/>
                <w:szCs w:val="20"/>
              </w:rPr>
              <w:t>Dietary Diversity Score (DDS)</w:t>
            </w:r>
          </w:p>
        </w:tc>
        <w:tc>
          <w:tcPr>
            <w:tcW w:w="2117" w:type="pct"/>
            <w:gridSpan w:val="2"/>
            <w:tcBorders>
              <w:top w:val="single" w:sz="4" w:space="0" w:color="auto"/>
              <w:bottom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Residence</w:t>
            </w:r>
          </w:p>
        </w:tc>
        <w:tc>
          <w:tcPr>
            <w:tcW w:w="975" w:type="pct"/>
            <w:vMerge w:val="restart"/>
            <w:tcBorders>
              <w:top w:val="single" w:sz="4" w:space="0" w:color="auto"/>
              <w:bottom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Chi square value</w:t>
            </w:r>
          </w:p>
        </w:tc>
        <w:tc>
          <w:tcPr>
            <w:tcW w:w="868" w:type="pct"/>
            <w:vMerge w:val="restart"/>
            <w:tcBorders>
              <w:top w:val="single" w:sz="4" w:space="0" w:color="auto"/>
              <w:bottom w:val="nil"/>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P value</w:t>
            </w:r>
          </w:p>
          <w:p w:rsidR="00932B23" w:rsidRPr="000D229D" w:rsidRDefault="00932B23" w:rsidP="00932B23">
            <w:pPr>
              <w:rPr>
                <w:rFonts w:ascii="Times New Roman" w:hAnsi="Times New Roman" w:cs="Times New Roman"/>
                <w:sz w:val="20"/>
                <w:szCs w:val="20"/>
              </w:rPr>
            </w:pPr>
          </w:p>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p=0.05</w:t>
            </w:r>
          </w:p>
        </w:tc>
      </w:tr>
      <w:tr w:rsidR="00932B23" w:rsidRPr="000D229D" w:rsidTr="00932B23">
        <w:tc>
          <w:tcPr>
            <w:tcW w:w="1040" w:type="pct"/>
            <w:vMerge/>
            <w:tcBorders>
              <w:top w:val="nil"/>
              <w:bottom w:val="single" w:sz="4" w:space="0" w:color="auto"/>
            </w:tcBorders>
          </w:tcPr>
          <w:p w:rsidR="00932B23" w:rsidRPr="000D229D" w:rsidRDefault="00932B23" w:rsidP="00932B23">
            <w:pPr>
              <w:jc w:val="center"/>
              <w:rPr>
                <w:rFonts w:ascii="Times New Roman" w:hAnsi="Times New Roman" w:cs="Times New Roman"/>
                <w:sz w:val="20"/>
                <w:szCs w:val="20"/>
              </w:rPr>
            </w:pPr>
          </w:p>
        </w:tc>
        <w:tc>
          <w:tcPr>
            <w:tcW w:w="991" w:type="pct"/>
            <w:tcBorders>
              <w:top w:val="nil"/>
              <w:bottom w:val="single" w:sz="4" w:space="0" w:color="auto"/>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Urban</w:t>
            </w:r>
          </w:p>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n=181</w:t>
            </w:r>
          </w:p>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w:t>
            </w:r>
          </w:p>
        </w:tc>
        <w:tc>
          <w:tcPr>
            <w:tcW w:w="1126" w:type="pct"/>
            <w:tcBorders>
              <w:top w:val="nil"/>
              <w:bottom w:val="single" w:sz="4" w:space="0" w:color="auto"/>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Rural</w:t>
            </w:r>
          </w:p>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n=88</w:t>
            </w:r>
          </w:p>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n(%)</w:t>
            </w:r>
          </w:p>
        </w:tc>
        <w:tc>
          <w:tcPr>
            <w:tcW w:w="975" w:type="pct"/>
            <w:vMerge/>
            <w:tcBorders>
              <w:top w:val="nil"/>
              <w:bottom w:val="single" w:sz="4" w:space="0" w:color="auto"/>
            </w:tcBorders>
          </w:tcPr>
          <w:p w:rsidR="00932B23" w:rsidRPr="000D229D" w:rsidRDefault="00932B23" w:rsidP="00932B23">
            <w:pPr>
              <w:jc w:val="center"/>
              <w:rPr>
                <w:rFonts w:ascii="Times New Roman" w:hAnsi="Times New Roman" w:cs="Times New Roman"/>
                <w:sz w:val="20"/>
                <w:szCs w:val="20"/>
              </w:rPr>
            </w:pPr>
          </w:p>
        </w:tc>
        <w:tc>
          <w:tcPr>
            <w:tcW w:w="868" w:type="pct"/>
            <w:vMerge/>
            <w:tcBorders>
              <w:top w:val="nil"/>
              <w:bottom w:val="single" w:sz="4" w:space="0" w:color="auto"/>
            </w:tcBorders>
          </w:tcPr>
          <w:p w:rsidR="00932B23" w:rsidRPr="000D229D" w:rsidRDefault="00932B23" w:rsidP="00932B23">
            <w:pPr>
              <w:jc w:val="center"/>
              <w:rPr>
                <w:rFonts w:ascii="Times New Roman" w:hAnsi="Times New Roman" w:cs="Times New Roman"/>
                <w:sz w:val="20"/>
                <w:szCs w:val="20"/>
              </w:rPr>
            </w:pPr>
          </w:p>
        </w:tc>
      </w:tr>
      <w:tr w:rsidR="00932B23" w:rsidRPr="000D229D" w:rsidTr="00932B23">
        <w:tc>
          <w:tcPr>
            <w:tcW w:w="1040" w:type="pct"/>
            <w:tcBorders>
              <w:top w:val="single" w:sz="4" w:space="0" w:color="auto"/>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DDS = 1</w:t>
            </w:r>
          </w:p>
        </w:tc>
        <w:tc>
          <w:tcPr>
            <w:tcW w:w="991" w:type="pct"/>
            <w:tcBorders>
              <w:top w:val="single" w:sz="4" w:space="0" w:color="auto"/>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10(5.5)</w:t>
            </w:r>
          </w:p>
        </w:tc>
        <w:tc>
          <w:tcPr>
            <w:tcW w:w="1126" w:type="pct"/>
            <w:tcBorders>
              <w:top w:val="single" w:sz="4" w:space="0" w:color="auto"/>
            </w:tcBorders>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10(11.4)</w:t>
            </w:r>
          </w:p>
        </w:tc>
        <w:tc>
          <w:tcPr>
            <w:tcW w:w="975" w:type="pct"/>
            <w:vMerge w:val="restart"/>
            <w:tcBorders>
              <w:top w:val="single" w:sz="4" w:space="0" w:color="auto"/>
            </w:tcBorders>
          </w:tcPr>
          <w:p w:rsidR="00932B23" w:rsidRPr="000D229D" w:rsidRDefault="00932B23" w:rsidP="00932B23">
            <w:pPr>
              <w:jc w:val="center"/>
              <w:rPr>
                <w:rFonts w:ascii="Times New Roman" w:hAnsi="Times New Roman" w:cs="Times New Roman"/>
                <w:sz w:val="20"/>
                <w:szCs w:val="20"/>
              </w:rPr>
            </w:pPr>
          </w:p>
          <w:p w:rsidR="00932B23" w:rsidRPr="000D229D" w:rsidRDefault="00932B23" w:rsidP="00932B23">
            <w:pPr>
              <w:jc w:val="center"/>
              <w:rPr>
                <w:rFonts w:ascii="Times New Roman" w:hAnsi="Times New Roman" w:cs="Times New Roman"/>
                <w:sz w:val="20"/>
                <w:szCs w:val="20"/>
              </w:rPr>
            </w:pPr>
          </w:p>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13.467</w:t>
            </w:r>
          </w:p>
        </w:tc>
        <w:tc>
          <w:tcPr>
            <w:tcW w:w="868" w:type="pct"/>
            <w:vMerge w:val="restart"/>
            <w:tcBorders>
              <w:top w:val="single" w:sz="4" w:space="0" w:color="auto"/>
            </w:tcBorders>
          </w:tcPr>
          <w:p w:rsidR="00932B23" w:rsidRPr="000D229D" w:rsidRDefault="00932B23" w:rsidP="00932B23">
            <w:pPr>
              <w:jc w:val="center"/>
              <w:rPr>
                <w:rFonts w:ascii="Times New Roman" w:hAnsi="Times New Roman" w:cs="Times New Roman"/>
                <w:sz w:val="20"/>
                <w:szCs w:val="20"/>
              </w:rPr>
            </w:pPr>
          </w:p>
          <w:p w:rsidR="00932B23" w:rsidRPr="000D229D" w:rsidRDefault="00932B23" w:rsidP="00932B23">
            <w:pPr>
              <w:jc w:val="center"/>
              <w:rPr>
                <w:rFonts w:ascii="Times New Roman" w:hAnsi="Times New Roman" w:cs="Times New Roman"/>
                <w:sz w:val="20"/>
                <w:szCs w:val="20"/>
              </w:rPr>
            </w:pPr>
          </w:p>
          <w:p w:rsidR="00932B23" w:rsidRPr="000D229D" w:rsidRDefault="00932B23" w:rsidP="00932B23">
            <w:pPr>
              <w:jc w:val="center"/>
              <w:rPr>
                <w:rFonts w:ascii="Times New Roman" w:hAnsi="Times New Roman" w:cs="Times New Roman"/>
                <w:b/>
                <w:sz w:val="20"/>
                <w:szCs w:val="20"/>
              </w:rPr>
            </w:pPr>
            <w:r w:rsidRPr="000D229D">
              <w:rPr>
                <w:rFonts w:ascii="Times New Roman" w:hAnsi="Times New Roman" w:cs="Times New Roman"/>
                <w:b/>
                <w:sz w:val="20"/>
                <w:szCs w:val="20"/>
              </w:rPr>
              <w:t>0.004*</w:t>
            </w:r>
          </w:p>
        </w:tc>
      </w:tr>
      <w:tr w:rsidR="00932B23" w:rsidRPr="000D229D" w:rsidTr="00932B23">
        <w:tc>
          <w:tcPr>
            <w:tcW w:w="1040"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DDS = 2</w:t>
            </w:r>
          </w:p>
        </w:tc>
        <w:tc>
          <w:tcPr>
            <w:tcW w:w="991"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53(29.3)</w:t>
            </w:r>
          </w:p>
        </w:tc>
        <w:tc>
          <w:tcPr>
            <w:tcW w:w="1126"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13(14.8)</w:t>
            </w:r>
          </w:p>
        </w:tc>
        <w:tc>
          <w:tcPr>
            <w:tcW w:w="975" w:type="pct"/>
            <w:vMerge/>
          </w:tcPr>
          <w:p w:rsidR="00932B23" w:rsidRPr="000D229D" w:rsidRDefault="00932B23" w:rsidP="00932B23">
            <w:pPr>
              <w:jc w:val="center"/>
              <w:rPr>
                <w:rFonts w:ascii="Times New Roman" w:hAnsi="Times New Roman" w:cs="Times New Roman"/>
                <w:sz w:val="20"/>
                <w:szCs w:val="20"/>
              </w:rPr>
            </w:pPr>
          </w:p>
        </w:tc>
        <w:tc>
          <w:tcPr>
            <w:tcW w:w="868" w:type="pct"/>
            <w:vMerge/>
          </w:tcPr>
          <w:p w:rsidR="00932B23" w:rsidRPr="000D229D" w:rsidRDefault="00932B23" w:rsidP="00932B23">
            <w:pPr>
              <w:jc w:val="center"/>
              <w:rPr>
                <w:rFonts w:ascii="Times New Roman" w:hAnsi="Times New Roman" w:cs="Times New Roman"/>
                <w:sz w:val="20"/>
                <w:szCs w:val="20"/>
              </w:rPr>
            </w:pPr>
          </w:p>
        </w:tc>
      </w:tr>
      <w:tr w:rsidR="00932B23" w:rsidRPr="000D229D" w:rsidTr="00932B23">
        <w:tc>
          <w:tcPr>
            <w:tcW w:w="1040"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DDS = 3</w:t>
            </w:r>
          </w:p>
        </w:tc>
        <w:tc>
          <w:tcPr>
            <w:tcW w:w="991"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76(42.0)</w:t>
            </w:r>
          </w:p>
        </w:tc>
        <w:tc>
          <w:tcPr>
            <w:tcW w:w="1126"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 xml:space="preserve"> 31(35.2)</w:t>
            </w:r>
          </w:p>
        </w:tc>
        <w:tc>
          <w:tcPr>
            <w:tcW w:w="975" w:type="pct"/>
            <w:vMerge/>
          </w:tcPr>
          <w:p w:rsidR="00932B23" w:rsidRPr="000D229D" w:rsidRDefault="00932B23" w:rsidP="00932B23">
            <w:pPr>
              <w:jc w:val="center"/>
              <w:rPr>
                <w:rFonts w:ascii="Times New Roman" w:hAnsi="Times New Roman" w:cs="Times New Roman"/>
                <w:sz w:val="20"/>
                <w:szCs w:val="20"/>
              </w:rPr>
            </w:pPr>
          </w:p>
        </w:tc>
        <w:tc>
          <w:tcPr>
            <w:tcW w:w="868" w:type="pct"/>
            <w:vMerge/>
          </w:tcPr>
          <w:p w:rsidR="00932B23" w:rsidRPr="000D229D" w:rsidRDefault="00932B23" w:rsidP="00932B23">
            <w:pPr>
              <w:jc w:val="center"/>
              <w:rPr>
                <w:rFonts w:ascii="Times New Roman" w:hAnsi="Times New Roman" w:cs="Times New Roman"/>
                <w:sz w:val="20"/>
                <w:szCs w:val="20"/>
              </w:rPr>
            </w:pPr>
          </w:p>
        </w:tc>
      </w:tr>
      <w:tr w:rsidR="00932B23" w:rsidRPr="000D229D" w:rsidTr="00932B23">
        <w:trPr>
          <w:trHeight w:val="251"/>
        </w:trPr>
        <w:tc>
          <w:tcPr>
            <w:tcW w:w="1040"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DDS ≥ 4</w:t>
            </w:r>
          </w:p>
        </w:tc>
        <w:tc>
          <w:tcPr>
            <w:tcW w:w="991" w:type="pct"/>
          </w:tcPr>
          <w:p w:rsidR="00932B23" w:rsidRPr="000D229D" w:rsidRDefault="00932B23" w:rsidP="00932B23">
            <w:pPr>
              <w:pStyle w:val="ListParagraph"/>
              <w:ind w:left="420"/>
              <w:rPr>
                <w:rFonts w:ascii="Times New Roman" w:hAnsi="Times New Roman" w:cs="Times New Roman"/>
                <w:sz w:val="20"/>
                <w:szCs w:val="20"/>
              </w:rPr>
            </w:pPr>
            <w:r w:rsidRPr="000D229D">
              <w:rPr>
                <w:rFonts w:ascii="Times New Roman" w:hAnsi="Times New Roman" w:cs="Times New Roman"/>
                <w:sz w:val="20"/>
                <w:szCs w:val="20"/>
              </w:rPr>
              <w:t>42(23.2)</w:t>
            </w:r>
          </w:p>
        </w:tc>
        <w:tc>
          <w:tcPr>
            <w:tcW w:w="1126" w:type="pct"/>
          </w:tcPr>
          <w:p w:rsidR="00932B23" w:rsidRPr="000D229D" w:rsidRDefault="00932B23" w:rsidP="00932B23">
            <w:pPr>
              <w:jc w:val="center"/>
              <w:rPr>
                <w:rFonts w:ascii="Times New Roman" w:hAnsi="Times New Roman" w:cs="Times New Roman"/>
                <w:sz w:val="20"/>
                <w:szCs w:val="20"/>
              </w:rPr>
            </w:pPr>
            <w:r w:rsidRPr="000D229D">
              <w:rPr>
                <w:rFonts w:ascii="Times New Roman" w:hAnsi="Times New Roman" w:cs="Times New Roman"/>
                <w:sz w:val="20"/>
                <w:szCs w:val="20"/>
              </w:rPr>
              <w:t>34(38.6)</w:t>
            </w:r>
          </w:p>
        </w:tc>
        <w:tc>
          <w:tcPr>
            <w:tcW w:w="975" w:type="pct"/>
            <w:vMerge/>
          </w:tcPr>
          <w:p w:rsidR="00932B23" w:rsidRPr="000D229D" w:rsidRDefault="00932B23" w:rsidP="00932B23">
            <w:pPr>
              <w:jc w:val="center"/>
              <w:rPr>
                <w:rFonts w:ascii="Times New Roman" w:hAnsi="Times New Roman" w:cs="Times New Roman"/>
                <w:sz w:val="20"/>
                <w:szCs w:val="20"/>
              </w:rPr>
            </w:pPr>
          </w:p>
        </w:tc>
        <w:tc>
          <w:tcPr>
            <w:tcW w:w="868" w:type="pct"/>
            <w:vMerge/>
          </w:tcPr>
          <w:p w:rsidR="00932B23" w:rsidRPr="000D229D" w:rsidRDefault="00932B23" w:rsidP="00932B23">
            <w:pPr>
              <w:jc w:val="center"/>
              <w:rPr>
                <w:rFonts w:ascii="Times New Roman" w:hAnsi="Times New Roman" w:cs="Times New Roman"/>
                <w:sz w:val="20"/>
                <w:szCs w:val="20"/>
              </w:rPr>
            </w:pPr>
          </w:p>
        </w:tc>
      </w:tr>
    </w:tbl>
    <w:p w:rsidR="00932B23" w:rsidRPr="00DF5A05" w:rsidRDefault="00932B23" w:rsidP="00932B23">
      <w:pPr>
        <w:spacing w:after="0" w:line="480" w:lineRule="auto"/>
        <w:jc w:val="both"/>
        <w:rPr>
          <w:rFonts w:ascii="Times New Roman" w:hAnsi="Times New Roman" w:cs="Times New Roman"/>
          <w:sz w:val="18"/>
          <w:szCs w:val="18"/>
        </w:rPr>
      </w:pPr>
      <w:r w:rsidRPr="00DF5A05">
        <w:rPr>
          <w:rFonts w:ascii="Times New Roman" w:hAnsi="Times New Roman" w:cs="Times New Roman"/>
          <w:b/>
          <w:sz w:val="18"/>
          <w:szCs w:val="18"/>
        </w:rPr>
        <w:t>*</w:t>
      </w:r>
      <w:r w:rsidRPr="00DF5A05">
        <w:rPr>
          <w:rFonts w:ascii="Times New Roman" w:hAnsi="Times New Roman" w:cs="Times New Roman"/>
          <w:sz w:val="18"/>
          <w:szCs w:val="18"/>
        </w:rPr>
        <w:t>Significant value</w:t>
      </w:r>
    </w:p>
    <w:p w:rsidR="00932B23" w:rsidRPr="00F36C7B" w:rsidRDefault="00977C5A" w:rsidP="000D229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bookmarkStart w:id="16" w:name="_GoBack"/>
      <w:bookmarkEnd w:id="16"/>
      <w:r w:rsidR="00932B23">
        <w:rPr>
          <w:rFonts w:ascii="Times New Roman" w:hAnsi="Times New Roman" w:cs="Times New Roman"/>
          <w:sz w:val="24"/>
          <w:szCs w:val="24"/>
        </w:rPr>
        <w:t xml:space="preserve">he </w:t>
      </w:r>
      <w:r w:rsidR="00932B23" w:rsidRPr="00F36C7B">
        <w:rPr>
          <w:rFonts w:ascii="Times New Roman" w:hAnsi="Times New Roman" w:cs="Times New Roman"/>
          <w:sz w:val="24"/>
          <w:szCs w:val="24"/>
        </w:rPr>
        <w:t>relationship between severity of stunting and dietary divers</w:t>
      </w:r>
      <w:r w:rsidR="00932B23">
        <w:rPr>
          <w:rFonts w:ascii="Times New Roman" w:hAnsi="Times New Roman" w:cs="Times New Roman"/>
          <w:sz w:val="24"/>
          <w:szCs w:val="24"/>
        </w:rPr>
        <w:t>ity score was determined and no relationship was observed for both urban an</w:t>
      </w:r>
      <w:r w:rsidR="00047CA2">
        <w:rPr>
          <w:rFonts w:ascii="Times New Roman" w:hAnsi="Times New Roman" w:cs="Times New Roman"/>
          <w:sz w:val="24"/>
          <w:szCs w:val="24"/>
        </w:rPr>
        <w:t>d rural children. See Table 8</w:t>
      </w:r>
    </w:p>
    <w:p w:rsidR="00932B23" w:rsidRPr="00DB18AE" w:rsidRDefault="00B92C4D" w:rsidP="00932B23">
      <w:pPr>
        <w:pStyle w:val="Heading4"/>
        <w:rPr>
          <w:rFonts w:ascii="Times New Roman" w:hAnsi="Times New Roman" w:cs="Times New Roman"/>
          <w:i w:val="0"/>
          <w:color w:val="auto"/>
          <w:sz w:val="24"/>
          <w:szCs w:val="24"/>
        </w:rPr>
      </w:pPr>
      <w:bookmarkStart w:id="17" w:name="_Toc5363715"/>
      <w:bookmarkStart w:id="18" w:name="_Toc14839551"/>
      <w:r>
        <w:rPr>
          <w:rFonts w:ascii="Times New Roman" w:hAnsi="Times New Roman" w:cs="Times New Roman"/>
          <w:i w:val="0"/>
          <w:color w:val="auto"/>
          <w:sz w:val="24"/>
          <w:szCs w:val="24"/>
        </w:rPr>
        <w:t>Table 8</w:t>
      </w:r>
      <w:r w:rsidR="00932B23" w:rsidRPr="00DB18AE">
        <w:rPr>
          <w:rFonts w:ascii="Times New Roman" w:hAnsi="Times New Roman" w:cs="Times New Roman"/>
          <w:i w:val="0"/>
          <w:color w:val="auto"/>
          <w:sz w:val="24"/>
          <w:szCs w:val="24"/>
        </w:rPr>
        <w:t>:</w:t>
      </w:r>
      <w:r w:rsidR="00932B23">
        <w:rPr>
          <w:rFonts w:ascii="Times New Roman" w:hAnsi="Times New Roman" w:cs="Times New Roman"/>
          <w:i w:val="0"/>
          <w:color w:val="auto"/>
          <w:sz w:val="24"/>
          <w:szCs w:val="24"/>
        </w:rPr>
        <w:t xml:space="preserve"> S</w:t>
      </w:r>
      <w:r w:rsidR="00932B23" w:rsidRPr="00DB18AE">
        <w:rPr>
          <w:rFonts w:ascii="Times New Roman" w:hAnsi="Times New Roman" w:cs="Times New Roman"/>
          <w:i w:val="0"/>
          <w:color w:val="auto"/>
          <w:sz w:val="24"/>
          <w:szCs w:val="24"/>
        </w:rPr>
        <w:t>everity of stunting and dietary diversity score</w:t>
      </w:r>
      <w:bookmarkEnd w:id="17"/>
      <w:bookmarkEnd w:id="18"/>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1433"/>
        <w:gridCol w:w="1254"/>
        <w:gridCol w:w="1496"/>
        <w:gridCol w:w="1253"/>
        <w:gridCol w:w="1256"/>
        <w:gridCol w:w="1756"/>
      </w:tblGrid>
      <w:tr w:rsidR="00932B23" w:rsidRPr="000D229D" w:rsidTr="00932B23">
        <w:tc>
          <w:tcPr>
            <w:tcW w:w="589" w:type="pct"/>
            <w:vMerge w:val="restart"/>
            <w:tcBorders>
              <w:top w:val="single" w:sz="4" w:space="0" w:color="auto"/>
              <w:bottom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p>
          <w:p w:rsidR="00932B23" w:rsidRPr="000D229D" w:rsidRDefault="00932B23" w:rsidP="00932B23">
            <w:pPr>
              <w:autoSpaceDE w:val="0"/>
              <w:autoSpaceDN w:val="0"/>
              <w:adjustRightInd w:val="0"/>
              <w:jc w:val="center"/>
              <w:rPr>
                <w:rFonts w:ascii="Times New Roman" w:hAnsi="Times New Roman" w:cs="Times New Roman"/>
                <w:sz w:val="20"/>
                <w:szCs w:val="20"/>
              </w:rPr>
            </w:pPr>
          </w:p>
          <w:p w:rsidR="00932B23" w:rsidRPr="000D229D" w:rsidRDefault="00932B23" w:rsidP="00932B23">
            <w:pPr>
              <w:autoSpaceDE w:val="0"/>
              <w:autoSpaceDN w:val="0"/>
              <w:adjustRightInd w:val="0"/>
              <w:jc w:val="center"/>
              <w:rPr>
                <w:rFonts w:ascii="Times New Roman" w:hAnsi="Times New Roman" w:cs="Times New Roman"/>
                <w:sz w:val="20"/>
                <w:szCs w:val="20"/>
              </w:rPr>
            </w:pPr>
          </w:p>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DDS</w:t>
            </w:r>
          </w:p>
        </w:tc>
        <w:tc>
          <w:tcPr>
            <w:tcW w:w="1403" w:type="pct"/>
            <w:gridSpan w:val="2"/>
            <w:tcBorders>
              <w:top w:val="single" w:sz="4" w:space="0" w:color="auto"/>
              <w:bottom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Urban</w:t>
            </w:r>
          </w:p>
        </w:tc>
        <w:tc>
          <w:tcPr>
            <w:tcW w:w="781" w:type="pct"/>
            <w:tcBorders>
              <w:top w:val="single" w:sz="4" w:space="0" w:color="auto"/>
              <w:bottom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p>
        </w:tc>
        <w:tc>
          <w:tcPr>
            <w:tcW w:w="1310" w:type="pct"/>
            <w:gridSpan w:val="2"/>
            <w:tcBorders>
              <w:top w:val="single" w:sz="4" w:space="0" w:color="auto"/>
              <w:bottom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Rural</w:t>
            </w:r>
          </w:p>
        </w:tc>
        <w:tc>
          <w:tcPr>
            <w:tcW w:w="917" w:type="pct"/>
            <w:tcBorders>
              <w:top w:val="single" w:sz="4" w:space="0" w:color="auto"/>
              <w:bottom w:val="nil"/>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p>
        </w:tc>
      </w:tr>
      <w:tr w:rsidR="00932B23" w:rsidRPr="000D229D" w:rsidTr="00932B23">
        <w:tc>
          <w:tcPr>
            <w:tcW w:w="589" w:type="pct"/>
            <w:vMerge/>
            <w:tcBorders>
              <w:top w:val="nil"/>
              <w:bottom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p>
        </w:tc>
        <w:tc>
          <w:tcPr>
            <w:tcW w:w="748" w:type="pct"/>
            <w:tcBorders>
              <w:top w:val="nil"/>
              <w:bottom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Stunted</w:t>
            </w:r>
          </w:p>
          <w:p w:rsidR="00932B23" w:rsidRPr="000D229D" w:rsidRDefault="00932B23" w:rsidP="00932B23">
            <w:pPr>
              <w:autoSpaceDE w:val="0"/>
              <w:autoSpaceDN w:val="0"/>
              <w:adjustRightInd w:val="0"/>
              <w:jc w:val="center"/>
              <w:rPr>
                <w:rFonts w:ascii="Times New Roman" w:hAnsi="Times New Roman" w:cs="Times New Roman"/>
                <w:sz w:val="20"/>
                <w:szCs w:val="20"/>
              </w:rPr>
            </w:pPr>
          </w:p>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n=139</w:t>
            </w:r>
          </w:p>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n (%)</w:t>
            </w:r>
          </w:p>
        </w:tc>
        <w:tc>
          <w:tcPr>
            <w:tcW w:w="655" w:type="pct"/>
            <w:tcBorders>
              <w:top w:val="nil"/>
              <w:bottom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Severe stunting</w:t>
            </w:r>
          </w:p>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n=76</w:t>
            </w:r>
          </w:p>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n (%)</w:t>
            </w:r>
          </w:p>
        </w:tc>
        <w:tc>
          <w:tcPr>
            <w:tcW w:w="781" w:type="pct"/>
            <w:tcBorders>
              <w:top w:val="nil"/>
              <w:bottom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 xml:space="preserve">Chi square </w:t>
            </w:r>
          </w:p>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 xml:space="preserve">results </w:t>
            </w:r>
          </w:p>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P=0.05</w:t>
            </w:r>
          </w:p>
        </w:tc>
        <w:tc>
          <w:tcPr>
            <w:tcW w:w="654" w:type="pct"/>
            <w:tcBorders>
              <w:top w:val="nil"/>
              <w:bottom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Stunted</w:t>
            </w:r>
          </w:p>
          <w:p w:rsidR="00932B23" w:rsidRPr="000D229D" w:rsidRDefault="00932B23" w:rsidP="00932B23">
            <w:pPr>
              <w:autoSpaceDE w:val="0"/>
              <w:autoSpaceDN w:val="0"/>
              <w:adjustRightInd w:val="0"/>
              <w:jc w:val="center"/>
              <w:rPr>
                <w:rFonts w:ascii="Times New Roman" w:hAnsi="Times New Roman" w:cs="Times New Roman"/>
                <w:sz w:val="20"/>
                <w:szCs w:val="20"/>
              </w:rPr>
            </w:pPr>
          </w:p>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n=79</w:t>
            </w:r>
          </w:p>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n (%)</w:t>
            </w:r>
          </w:p>
        </w:tc>
        <w:tc>
          <w:tcPr>
            <w:tcW w:w="656" w:type="pct"/>
            <w:tcBorders>
              <w:top w:val="nil"/>
              <w:bottom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Severe stunting</w:t>
            </w:r>
          </w:p>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n=37</w:t>
            </w:r>
          </w:p>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n (%)</w:t>
            </w:r>
          </w:p>
        </w:tc>
        <w:tc>
          <w:tcPr>
            <w:tcW w:w="917" w:type="pct"/>
            <w:tcBorders>
              <w:top w:val="nil"/>
              <w:bottom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Chi square</w:t>
            </w:r>
          </w:p>
          <w:p w:rsidR="00932B23" w:rsidRPr="000D229D" w:rsidRDefault="00932B23" w:rsidP="00932B23">
            <w:pPr>
              <w:autoSpaceDE w:val="0"/>
              <w:autoSpaceDN w:val="0"/>
              <w:adjustRightInd w:val="0"/>
              <w:jc w:val="center"/>
              <w:rPr>
                <w:rFonts w:ascii="Times New Roman" w:hAnsi="Times New Roman" w:cs="Times New Roman"/>
                <w:sz w:val="20"/>
                <w:szCs w:val="20"/>
              </w:rPr>
            </w:pPr>
          </w:p>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P=0.05</w:t>
            </w:r>
          </w:p>
        </w:tc>
      </w:tr>
      <w:tr w:rsidR="00932B23" w:rsidRPr="000D229D" w:rsidTr="00932B23">
        <w:tc>
          <w:tcPr>
            <w:tcW w:w="589" w:type="pct"/>
            <w:tcBorders>
              <w:top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DDS=1</w:t>
            </w:r>
          </w:p>
        </w:tc>
        <w:tc>
          <w:tcPr>
            <w:tcW w:w="748" w:type="pct"/>
            <w:tcBorders>
              <w:top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5(4.3)</w:t>
            </w:r>
          </w:p>
        </w:tc>
        <w:tc>
          <w:tcPr>
            <w:tcW w:w="655" w:type="pct"/>
            <w:tcBorders>
              <w:top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5(7.6)</w:t>
            </w:r>
          </w:p>
        </w:tc>
        <w:tc>
          <w:tcPr>
            <w:tcW w:w="781" w:type="pct"/>
            <w:vMerge w:val="restart"/>
            <w:tcBorders>
              <w:top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p>
          <w:p w:rsidR="00932B23" w:rsidRPr="000D229D" w:rsidRDefault="00932B23" w:rsidP="00932B23">
            <w:pPr>
              <w:autoSpaceDE w:val="0"/>
              <w:autoSpaceDN w:val="0"/>
              <w:adjustRightInd w:val="0"/>
              <w:jc w:val="center"/>
              <w:rPr>
                <w:rFonts w:ascii="Times New Roman" w:hAnsi="Times New Roman" w:cs="Times New Roman"/>
                <w:sz w:val="20"/>
                <w:szCs w:val="20"/>
              </w:rPr>
            </w:pPr>
          </w:p>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0.707</w:t>
            </w:r>
          </w:p>
        </w:tc>
        <w:tc>
          <w:tcPr>
            <w:tcW w:w="654" w:type="pct"/>
            <w:tcBorders>
              <w:top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5(8.3)</w:t>
            </w:r>
          </w:p>
        </w:tc>
        <w:tc>
          <w:tcPr>
            <w:tcW w:w="656" w:type="pct"/>
            <w:tcBorders>
              <w:top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5(17.9)</w:t>
            </w:r>
          </w:p>
        </w:tc>
        <w:tc>
          <w:tcPr>
            <w:tcW w:w="917" w:type="pct"/>
            <w:vMerge w:val="restart"/>
            <w:tcBorders>
              <w:top w:val="single" w:sz="4" w:space="0" w:color="auto"/>
            </w:tcBorders>
          </w:tcPr>
          <w:p w:rsidR="00932B23" w:rsidRPr="000D229D" w:rsidRDefault="00932B23" w:rsidP="00932B23">
            <w:pPr>
              <w:autoSpaceDE w:val="0"/>
              <w:autoSpaceDN w:val="0"/>
              <w:adjustRightInd w:val="0"/>
              <w:jc w:val="center"/>
              <w:rPr>
                <w:rFonts w:ascii="Times New Roman" w:hAnsi="Times New Roman" w:cs="Times New Roman"/>
                <w:sz w:val="20"/>
                <w:szCs w:val="20"/>
              </w:rPr>
            </w:pPr>
          </w:p>
          <w:p w:rsidR="00932B23" w:rsidRPr="000D229D" w:rsidRDefault="00932B23" w:rsidP="00932B23">
            <w:pPr>
              <w:autoSpaceDE w:val="0"/>
              <w:autoSpaceDN w:val="0"/>
              <w:adjustRightInd w:val="0"/>
              <w:jc w:val="center"/>
              <w:rPr>
                <w:rFonts w:ascii="Times New Roman" w:hAnsi="Times New Roman" w:cs="Times New Roman"/>
                <w:sz w:val="20"/>
                <w:szCs w:val="20"/>
              </w:rPr>
            </w:pPr>
          </w:p>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0.266</w:t>
            </w:r>
          </w:p>
        </w:tc>
      </w:tr>
      <w:tr w:rsidR="00932B23" w:rsidRPr="000D229D" w:rsidTr="00932B23">
        <w:tc>
          <w:tcPr>
            <w:tcW w:w="589"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DDS=2</w:t>
            </w:r>
          </w:p>
        </w:tc>
        <w:tc>
          <w:tcPr>
            <w:tcW w:w="748"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35(30.4)</w:t>
            </w:r>
          </w:p>
        </w:tc>
        <w:tc>
          <w:tcPr>
            <w:tcW w:w="655"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18(27.3)</w:t>
            </w:r>
          </w:p>
        </w:tc>
        <w:tc>
          <w:tcPr>
            <w:tcW w:w="781" w:type="pct"/>
            <w:vMerge/>
          </w:tcPr>
          <w:p w:rsidR="00932B23" w:rsidRPr="000D229D" w:rsidRDefault="00932B23" w:rsidP="00932B23">
            <w:pPr>
              <w:autoSpaceDE w:val="0"/>
              <w:autoSpaceDN w:val="0"/>
              <w:adjustRightInd w:val="0"/>
              <w:jc w:val="center"/>
              <w:rPr>
                <w:rFonts w:ascii="Times New Roman" w:hAnsi="Times New Roman" w:cs="Times New Roman"/>
                <w:sz w:val="20"/>
                <w:szCs w:val="20"/>
              </w:rPr>
            </w:pPr>
          </w:p>
        </w:tc>
        <w:tc>
          <w:tcPr>
            <w:tcW w:w="654"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8(13.3)</w:t>
            </w:r>
          </w:p>
        </w:tc>
        <w:tc>
          <w:tcPr>
            <w:tcW w:w="656"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5(17.9)</w:t>
            </w:r>
          </w:p>
        </w:tc>
        <w:tc>
          <w:tcPr>
            <w:tcW w:w="917" w:type="pct"/>
            <w:vMerge/>
          </w:tcPr>
          <w:p w:rsidR="00932B23" w:rsidRPr="000D229D" w:rsidRDefault="00932B23" w:rsidP="00932B23">
            <w:pPr>
              <w:autoSpaceDE w:val="0"/>
              <w:autoSpaceDN w:val="0"/>
              <w:adjustRightInd w:val="0"/>
              <w:jc w:val="center"/>
              <w:rPr>
                <w:rFonts w:ascii="Times New Roman" w:hAnsi="Times New Roman" w:cs="Times New Roman"/>
                <w:sz w:val="20"/>
                <w:szCs w:val="20"/>
              </w:rPr>
            </w:pPr>
          </w:p>
        </w:tc>
      </w:tr>
      <w:tr w:rsidR="00932B23" w:rsidRPr="000D229D" w:rsidTr="00932B23">
        <w:tc>
          <w:tcPr>
            <w:tcW w:w="589"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DDS=3</w:t>
            </w:r>
          </w:p>
        </w:tc>
        <w:tc>
          <w:tcPr>
            <w:tcW w:w="748"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50(43.7)</w:t>
            </w:r>
          </w:p>
        </w:tc>
        <w:tc>
          <w:tcPr>
            <w:tcW w:w="655"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26(39.4)</w:t>
            </w:r>
          </w:p>
        </w:tc>
        <w:tc>
          <w:tcPr>
            <w:tcW w:w="781" w:type="pct"/>
            <w:vMerge/>
          </w:tcPr>
          <w:p w:rsidR="00932B23" w:rsidRPr="000D229D" w:rsidRDefault="00932B23" w:rsidP="00932B23">
            <w:pPr>
              <w:autoSpaceDE w:val="0"/>
              <w:autoSpaceDN w:val="0"/>
              <w:adjustRightInd w:val="0"/>
              <w:jc w:val="center"/>
              <w:rPr>
                <w:rFonts w:ascii="Times New Roman" w:hAnsi="Times New Roman" w:cs="Times New Roman"/>
                <w:sz w:val="20"/>
                <w:szCs w:val="20"/>
              </w:rPr>
            </w:pPr>
          </w:p>
        </w:tc>
        <w:tc>
          <w:tcPr>
            <w:tcW w:w="654"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20(33.3)</w:t>
            </w:r>
          </w:p>
        </w:tc>
        <w:tc>
          <w:tcPr>
            <w:tcW w:w="656"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11(39.3)</w:t>
            </w:r>
          </w:p>
        </w:tc>
        <w:tc>
          <w:tcPr>
            <w:tcW w:w="917" w:type="pct"/>
            <w:vMerge/>
          </w:tcPr>
          <w:p w:rsidR="00932B23" w:rsidRPr="000D229D" w:rsidRDefault="00932B23" w:rsidP="00932B23">
            <w:pPr>
              <w:autoSpaceDE w:val="0"/>
              <w:autoSpaceDN w:val="0"/>
              <w:adjustRightInd w:val="0"/>
              <w:jc w:val="center"/>
              <w:rPr>
                <w:rFonts w:ascii="Times New Roman" w:hAnsi="Times New Roman" w:cs="Times New Roman"/>
                <w:sz w:val="20"/>
                <w:szCs w:val="20"/>
              </w:rPr>
            </w:pPr>
          </w:p>
        </w:tc>
      </w:tr>
      <w:tr w:rsidR="00932B23" w:rsidRPr="000D229D" w:rsidTr="00932B23">
        <w:tc>
          <w:tcPr>
            <w:tcW w:w="589"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DDS=4</w:t>
            </w:r>
          </w:p>
        </w:tc>
        <w:tc>
          <w:tcPr>
            <w:tcW w:w="748"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25(21.7)</w:t>
            </w:r>
          </w:p>
        </w:tc>
        <w:tc>
          <w:tcPr>
            <w:tcW w:w="655"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17(25.8)</w:t>
            </w:r>
          </w:p>
        </w:tc>
        <w:tc>
          <w:tcPr>
            <w:tcW w:w="781" w:type="pct"/>
            <w:vMerge/>
          </w:tcPr>
          <w:p w:rsidR="00932B23" w:rsidRPr="000D229D" w:rsidRDefault="00932B23" w:rsidP="00932B23">
            <w:pPr>
              <w:autoSpaceDE w:val="0"/>
              <w:autoSpaceDN w:val="0"/>
              <w:adjustRightInd w:val="0"/>
              <w:jc w:val="center"/>
              <w:rPr>
                <w:rFonts w:ascii="Times New Roman" w:hAnsi="Times New Roman" w:cs="Times New Roman"/>
                <w:sz w:val="20"/>
                <w:szCs w:val="20"/>
              </w:rPr>
            </w:pPr>
          </w:p>
        </w:tc>
        <w:tc>
          <w:tcPr>
            <w:tcW w:w="654"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27(45.0)</w:t>
            </w:r>
          </w:p>
        </w:tc>
        <w:tc>
          <w:tcPr>
            <w:tcW w:w="656" w:type="pct"/>
          </w:tcPr>
          <w:p w:rsidR="00932B23" w:rsidRPr="000D229D" w:rsidRDefault="00932B23" w:rsidP="00932B23">
            <w:pPr>
              <w:autoSpaceDE w:val="0"/>
              <w:autoSpaceDN w:val="0"/>
              <w:adjustRightInd w:val="0"/>
              <w:jc w:val="center"/>
              <w:rPr>
                <w:rFonts w:ascii="Times New Roman" w:hAnsi="Times New Roman" w:cs="Times New Roman"/>
                <w:sz w:val="20"/>
                <w:szCs w:val="20"/>
              </w:rPr>
            </w:pPr>
            <w:r w:rsidRPr="000D229D">
              <w:rPr>
                <w:rFonts w:ascii="Times New Roman" w:hAnsi="Times New Roman" w:cs="Times New Roman"/>
                <w:sz w:val="20"/>
                <w:szCs w:val="20"/>
              </w:rPr>
              <w:t>7(25.0)</w:t>
            </w:r>
          </w:p>
        </w:tc>
        <w:tc>
          <w:tcPr>
            <w:tcW w:w="917" w:type="pct"/>
            <w:vMerge/>
          </w:tcPr>
          <w:p w:rsidR="00932B23" w:rsidRPr="000D229D" w:rsidRDefault="00932B23" w:rsidP="00932B23">
            <w:pPr>
              <w:autoSpaceDE w:val="0"/>
              <w:autoSpaceDN w:val="0"/>
              <w:adjustRightInd w:val="0"/>
              <w:jc w:val="center"/>
              <w:rPr>
                <w:rFonts w:ascii="Times New Roman" w:hAnsi="Times New Roman" w:cs="Times New Roman"/>
                <w:sz w:val="20"/>
                <w:szCs w:val="20"/>
              </w:rPr>
            </w:pPr>
          </w:p>
        </w:tc>
      </w:tr>
    </w:tbl>
    <w:p w:rsidR="00932B23" w:rsidRPr="00775E59" w:rsidRDefault="00932B23" w:rsidP="00932B23">
      <w:pPr>
        <w:spacing w:after="0"/>
        <w:rPr>
          <w:rFonts w:ascii="Times New Roman" w:hAnsi="Times New Roman" w:cs="Times New Roman"/>
        </w:rPr>
      </w:pPr>
    </w:p>
    <w:p w:rsidR="00E815B3" w:rsidRDefault="00E815B3" w:rsidP="004E3660">
      <w:pPr>
        <w:spacing w:after="0"/>
        <w:rPr>
          <w:rFonts w:ascii="Times New Roman" w:hAnsi="Times New Roman" w:cs="Times New Roman"/>
          <w:b/>
          <w:sz w:val="24"/>
          <w:szCs w:val="24"/>
        </w:rPr>
      </w:pPr>
    </w:p>
    <w:p w:rsidR="0086220E" w:rsidRPr="00047CA2" w:rsidRDefault="0086220E" w:rsidP="0086220E">
      <w:pPr>
        <w:rPr>
          <w:rFonts w:ascii="Times New Roman" w:hAnsi="Times New Roman" w:cs="Times New Roman"/>
          <w:b/>
          <w:sz w:val="24"/>
          <w:szCs w:val="24"/>
        </w:rPr>
      </w:pPr>
      <w:r w:rsidRPr="00047CA2">
        <w:rPr>
          <w:rFonts w:ascii="Times New Roman" w:hAnsi="Times New Roman" w:cs="Times New Roman"/>
          <w:b/>
          <w:sz w:val="24"/>
          <w:szCs w:val="24"/>
        </w:rPr>
        <w:t>Discussion</w:t>
      </w:r>
    </w:p>
    <w:p w:rsidR="00047CA2" w:rsidRDefault="00047CA2" w:rsidP="000D22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w:t>
      </w:r>
      <w:r w:rsidRPr="002C30B7">
        <w:rPr>
          <w:rFonts w:ascii="Times New Roman" w:hAnsi="Times New Roman" w:cs="Times New Roman"/>
          <w:sz w:val="24"/>
          <w:szCs w:val="24"/>
        </w:rPr>
        <w:t>in</w:t>
      </w:r>
      <w:r w:rsidR="00717F20">
        <w:rPr>
          <w:rFonts w:ascii="Times New Roman" w:hAnsi="Times New Roman" w:cs="Times New Roman"/>
          <w:sz w:val="24"/>
          <w:szCs w:val="24"/>
        </w:rPr>
        <w:t>dicated</w:t>
      </w:r>
      <w:r w:rsidRPr="002C30B7">
        <w:rPr>
          <w:rFonts w:ascii="Times New Roman" w:hAnsi="Times New Roman" w:cs="Times New Roman"/>
          <w:sz w:val="24"/>
          <w:szCs w:val="24"/>
        </w:rPr>
        <w:t xml:space="preserve"> children </w:t>
      </w:r>
      <w:r>
        <w:rPr>
          <w:rFonts w:ascii="Times New Roman" w:hAnsi="Times New Roman" w:cs="Times New Roman"/>
          <w:sz w:val="24"/>
          <w:szCs w:val="24"/>
        </w:rPr>
        <w:t>less than two</w:t>
      </w:r>
      <w:r w:rsidRPr="002C30B7">
        <w:rPr>
          <w:rFonts w:ascii="Times New Roman" w:hAnsi="Times New Roman" w:cs="Times New Roman"/>
          <w:sz w:val="24"/>
          <w:szCs w:val="24"/>
        </w:rPr>
        <w:t xml:space="preserve"> years</w:t>
      </w:r>
      <w:r w:rsidR="00717F20">
        <w:rPr>
          <w:rFonts w:ascii="Times New Roman" w:hAnsi="Times New Roman" w:cs="Times New Roman"/>
          <w:sz w:val="24"/>
          <w:szCs w:val="24"/>
        </w:rPr>
        <w:t xml:space="preserve"> had stunting</w:t>
      </w:r>
      <w:r w:rsidRPr="002C30B7">
        <w:rPr>
          <w:rFonts w:ascii="Times New Roman" w:hAnsi="Times New Roman" w:cs="Times New Roman"/>
          <w:sz w:val="24"/>
          <w:szCs w:val="24"/>
        </w:rPr>
        <w:t xml:space="preserve"> </w:t>
      </w:r>
      <w:r w:rsidR="00A379D1">
        <w:rPr>
          <w:rFonts w:ascii="Times New Roman" w:hAnsi="Times New Roman" w:cs="Times New Roman"/>
          <w:sz w:val="24"/>
          <w:szCs w:val="24"/>
        </w:rPr>
        <w:t xml:space="preserve">with </w:t>
      </w:r>
      <w:r>
        <w:rPr>
          <w:rFonts w:ascii="Times New Roman" w:hAnsi="Times New Roman" w:cs="Times New Roman"/>
          <w:sz w:val="24"/>
          <w:szCs w:val="24"/>
        </w:rPr>
        <w:t>significant difference in the</w:t>
      </w:r>
      <w:r w:rsidR="00717F20">
        <w:rPr>
          <w:rFonts w:ascii="Times New Roman" w:hAnsi="Times New Roman" w:cs="Times New Roman"/>
          <w:sz w:val="24"/>
          <w:szCs w:val="24"/>
        </w:rPr>
        <w:t>ir gender distribution with</w:t>
      </w:r>
      <w:r>
        <w:rPr>
          <w:rFonts w:ascii="Times New Roman" w:hAnsi="Times New Roman" w:cs="Times New Roman"/>
          <w:sz w:val="24"/>
          <w:szCs w:val="24"/>
        </w:rPr>
        <w:t xml:space="preserve"> more females than males in both urban and </w:t>
      </w:r>
      <w:r w:rsidR="00016F11">
        <w:rPr>
          <w:rFonts w:ascii="Times New Roman" w:hAnsi="Times New Roman" w:cs="Times New Roman"/>
          <w:sz w:val="24"/>
          <w:szCs w:val="24"/>
        </w:rPr>
        <w:t xml:space="preserve">rural areas. This </w:t>
      </w:r>
      <w:r w:rsidR="00AB6CF3">
        <w:rPr>
          <w:rFonts w:ascii="Times New Roman" w:hAnsi="Times New Roman" w:cs="Times New Roman"/>
          <w:sz w:val="24"/>
          <w:szCs w:val="24"/>
        </w:rPr>
        <w:t xml:space="preserve">distribution was also seen in </w:t>
      </w:r>
      <w:r w:rsidR="00016F11">
        <w:rPr>
          <w:rFonts w:ascii="Times New Roman" w:hAnsi="Times New Roman" w:cs="Times New Roman"/>
          <w:sz w:val="24"/>
          <w:szCs w:val="24"/>
        </w:rPr>
        <w:t>one</w:t>
      </w:r>
      <w:r>
        <w:rPr>
          <w:rFonts w:ascii="Times New Roman" w:hAnsi="Times New Roman" w:cs="Times New Roman"/>
          <w:sz w:val="24"/>
          <w:szCs w:val="24"/>
        </w:rPr>
        <w:t xml:space="preserve"> study carried out in Baringo Kenya that found more females than males to be stunted, </w:t>
      </w:r>
      <w:r>
        <w:rPr>
          <w:rFonts w:ascii="Times New Roman" w:hAnsi="Times New Roman" w:cs="Times New Roman"/>
          <w:sz w:val="24"/>
          <w:szCs w:val="24"/>
        </w:rPr>
        <w:fldChar w:fldCharType="begin" w:fldLock="1"/>
      </w:r>
      <w:r w:rsidR="00667690">
        <w:rPr>
          <w:rFonts w:ascii="Times New Roman" w:hAnsi="Times New Roman" w:cs="Times New Roman"/>
          <w:sz w:val="24"/>
          <w:szCs w:val="24"/>
        </w:rPr>
        <w:instrText>ADDIN CSL_CITATION {"citationItems":[{"id":"ITEM-1","itemData":{"author":[{"dropping-particle":"","family":"Walingo","given":"Mary Khakoni","non-dropping-particle":"","parse-names":false,"suffix":""},{"dropping-particle":"","family":"Sewe","given":"Tabitha","non-dropping-particle":"","parse-names":false,"suffix":""}],"id":"ITEM-1","issue":"9","issued":{"date-parts":[["2015"]]},"page":"614-619","title":"Protein-Energy Malnutrition Still Exists in Kenya in the Twenty-First Century","type":"article-journal","volume":"14"},"uris":["http://www.mendeley.com/documents/?uuid=1117d1a1-fa09-4104-8c51-bf2fbca24b8c","http://www.mendeley.com/documents/?uuid=6539e3af-ccff-43e1-88ed-b7635465be40"]}],"mendeley":{"formattedCitation":"(Walingo &amp; Sewe, 2015)","manualFormatting":"(Walingo M., Sewe T., 2015)","plainTextFormattedCitation":"(Walingo &amp; Sewe, 2015)","previouslyFormattedCitation":"(Walingo &amp; Sewe, 2015)"},"properties":{"noteIndex":0},"schema":"https://github.com/citation-style-language/schema/raw/master/csl-citation.json"}</w:instrText>
      </w:r>
      <w:r>
        <w:rPr>
          <w:rFonts w:ascii="Times New Roman" w:hAnsi="Times New Roman" w:cs="Times New Roman"/>
          <w:sz w:val="24"/>
          <w:szCs w:val="24"/>
        </w:rPr>
        <w:fldChar w:fldCharType="separate"/>
      </w:r>
      <w:r w:rsidRPr="00CC6DCB">
        <w:rPr>
          <w:rFonts w:ascii="Times New Roman" w:hAnsi="Times New Roman" w:cs="Times New Roman"/>
          <w:noProof/>
          <w:sz w:val="24"/>
          <w:szCs w:val="24"/>
        </w:rPr>
        <w:t>(Walingo</w:t>
      </w:r>
      <w:r>
        <w:rPr>
          <w:rFonts w:ascii="Times New Roman" w:hAnsi="Times New Roman" w:cs="Times New Roman"/>
          <w:noProof/>
          <w:sz w:val="24"/>
          <w:szCs w:val="24"/>
        </w:rPr>
        <w:t xml:space="preserve"> M.,</w:t>
      </w:r>
      <w:r w:rsidRPr="00CC6DCB">
        <w:rPr>
          <w:rFonts w:ascii="Times New Roman" w:hAnsi="Times New Roman" w:cs="Times New Roman"/>
          <w:noProof/>
          <w:sz w:val="24"/>
          <w:szCs w:val="24"/>
        </w:rPr>
        <w:t xml:space="preserve"> Sewe</w:t>
      </w:r>
      <w:r>
        <w:rPr>
          <w:rFonts w:ascii="Times New Roman" w:hAnsi="Times New Roman" w:cs="Times New Roman"/>
          <w:noProof/>
          <w:sz w:val="24"/>
          <w:szCs w:val="24"/>
        </w:rPr>
        <w:t xml:space="preserve"> T.</w:t>
      </w:r>
      <w:r w:rsidRPr="00CC6DCB">
        <w:rPr>
          <w:rFonts w:ascii="Times New Roman" w:hAnsi="Times New Roman" w:cs="Times New Roman"/>
          <w:noProof/>
          <w:sz w:val="24"/>
          <w:szCs w:val="24"/>
        </w:rPr>
        <w:t>, 2015)</w:t>
      </w:r>
      <w:r>
        <w:rPr>
          <w:rFonts w:ascii="Times New Roman" w:hAnsi="Times New Roman" w:cs="Times New Roman"/>
          <w:sz w:val="24"/>
          <w:szCs w:val="24"/>
        </w:rPr>
        <w:fldChar w:fldCharType="end"/>
      </w:r>
      <w:r>
        <w:rPr>
          <w:rFonts w:ascii="Times New Roman" w:hAnsi="Times New Roman" w:cs="Times New Roman"/>
          <w:sz w:val="24"/>
          <w:szCs w:val="24"/>
        </w:rPr>
        <w:t xml:space="preserve">. Although an analysis of demographic survey data indicated, Kenya among other countries had stunting prevalence more in males than females, </w:t>
      </w:r>
      <w:r>
        <w:rPr>
          <w:rFonts w:ascii="Times New Roman" w:hAnsi="Times New Roman" w:cs="Times New Roman"/>
          <w:sz w:val="24"/>
          <w:szCs w:val="24"/>
        </w:rPr>
        <w:fldChar w:fldCharType="begin" w:fldLock="1"/>
      </w:r>
      <w:r w:rsidR="00667690">
        <w:rPr>
          <w:rFonts w:ascii="Times New Roman" w:hAnsi="Times New Roman" w:cs="Times New Roman"/>
          <w:sz w:val="24"/>
          <w:szCs w:val="24"/>
        </w:rPr>
        <w:instrText>ADDIN CSL_CITATION {"citationItems":[{"id":"ITEM-1","itemData":{"author":[{"dropping-particle":"","family":"Jonah","given":"Coretta M P","non-dropping-particle":"","parse-names":false,"suffix":""},{"dropping-particle":"","family":"Sambu","given":"Winnie C","non-dropping-particle":"","parse-names":false,"suffix":""},{"dropping-particle":"","family":"May","given":"Julian D","non-dropping-particle":"","parse-names":false,"suffix":""}],"id":"ITEM-1","issued":{"date-parts":[["2018"]]},"page":"1-15","publisher":"Archives of Public Health","title":"A comparative analysis of socioeconomic inequities in stunting : a case of three middle-income African countries","type":"article-journal"},"uris":["http://www.mendeley.com/documents/?uuid=d9899465-8bba-4d54-a768-813db7174ce8","http://www.mendeley.com/documents/?uuid=ac427c22-292f-4ab1-8338-448f4a1be476"]}],"mendeley":{"formattedCitation":"(Jonah, Sambu, &amp; May, 2018)","manualFormatting":"(Jonah C., Sambu W., 2018)","plainTextFormattedCitation":"(Jonah, Sambu, &amp; May, 2018)","previouslyFormattedCitation":"(Jonah, Sambu, &amp; May,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(Jonah C., Sambu W.,</w:t>
      </w:r>
      <w:r w:rsidRPr="00490144">
        <w:rPr>
          <w:rFonts w:ascii="Times New Roman" w:hAnsi="Times New Roman" w:cs="Times New Roman"/>
          <w:noProof/>
          <w:sz w:val="24"/>
          <w:szCs w:val="24"/>
        </w:rPr>
        <w:t xml:space="preserve"> 2018)</w:t>
      </w:r>
      <w:r>
        <w:rPr>
          <w:rFonts w:ascii="Times New Roman" w:hAnsi="Times New Roman" w:cs="Times New Roman"/>
          <w:sz w:val="24"/>
          <w:szCs w:val="24"/>
        </w:rPr>
        <w:fldChar w:fldCharType="end"/>
      </w:r>
      <w:r w:rsidR="00AB6CF3">
        <w:rPr>
          <w:rFonts w:ascii="Times New Roman" w:hAnsi="Times New Roman" w:cs="Times New Roman"/>
          <w:sz w:val="24"/>
          <w:szCs w:val="24"/>
        </w:rPr>
        <w:t>.</w:t>
      </w:r>
      <w:r>
        <w:rPr>
          <w:rFonts w:ascii="Times New Roman" w:hAnsi="Times New Roman" w:cs="Times New Roman"/>
          <w:sz w:val="24"/>
          <w:szCs w:val="24"/>
        </w:rPr>
        <w:t xml:space="preserve">  M</w:t>
      </w:r>
      <w:r w:rsidRPr="002C30B7">
        <w:rPr>
          <w:rFonts w:ascii="Times New Roman" w:hAnsi="Times New Roman" w:cs="Times New Roman"/>
          <w:sz w:val="24"/>
          <w:szCs w:val="24"/>
        </w:rPr>
        <w:t>ost</w:t>
      </w:r>
      <w:r>
        <w:rPr>
          <w:rFonts w:ascii="Times New Roman" w:hAnsi="Times New Roman" w:cs="Times New Roman"/>
          <w:sz w:val="24"/>
          <w:szCs w:val="24"/>
        </w:rPr>
        <w:t xml:space="preserve"> of the </w:t>
      </w:r>
      <w:r w:rsidRPr="002C30B7">
        <w:rPr>
          <w:rFonts w:ascii="Times New Roman" w:hAnsi="Times New Roman" w:cs="Times New Roman"/>
          <w:sz w:val="24"/>
          <w:szCs w:val="24"/>
        </w:rPr>
        <w:t xml:space="preserve">stunted children were </w:t>
      </w:r>
      <w:r>
        <w:rPr>
          <w:rFonts w:ascii="Times New Roman" w:hAnsi="Times New Roman" w:cs="Times New Roman"/>
          <w:sz w:val="24"/>
          <w:szCs w:val="24"/>
        </w:rPr>
        <w:t xml:space="preserve">between </w:t>
      </w:r>
      <w:r w:rsidR="00717F20">
        <w:rPr>
          <w:rFonts w:ascii="Times New Roman" w:hAnsi="Times New Roman" w:cs="Times New Roman"/>
          <w:sz w:val="24"/>
          <w:szCs w:val="24"/>
        </w:rPr>
        <w:t>18-23 months</w:t>
      </w:r>
      <w:r>
        <w:rPr>
          <w:rFonts w:ascii="Times New Roman" w:hAnsi="Times New Roman" w:cs="Times New Roman"/>
          <w:sz w:val="24"/>
          <w:szCs w:val="24"/>
        </w:rPr>
        <w:t xml:space="preserve"> and least seen in children zero to six months with a large difference in their distribution between urban and rural which concurs with the survey results,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rvey","given":"Health","non-dropping-particle":"","parse-names":false,"suffix":""},{"dropping-particle":"","family":"Indicators","given":"Key","non-dropping-particle":"","parse-names":false,"suffix":""}],"id":"ITEM-1","issued":{"date-parts":[["2014"]]},"title":"Kenya","type":"article-journal"},"uris":["http://www.mendeley.com/documents/?uuid=c2045756-09dc-430d-b033-779d181bc395"]}],"mendeley":{"formattedCitation":"(Survey &amp; Indicators, 2014)","plainTextFormattedCitation":"(Survey &amp; Indicators, 2014)","previouslyFormattedCitation":"(Survey &amp; Indicators, 2014)"},"properties":{"noteIndex":0},"schema":"https://github.com/citation-style-language/schema/raw/master/csl-citation.json"}</w:instrText>
      </w:r>
      <w:r>
        <w:rPr>
          <w:rFonts w:ascii="Times New Roman" w:hAnsi="Times New Roman" w:cs="Times New Roman"/>
          <w:sz w:val="24"/>
          <w:szCs w:val="24"/>
        </w:rPr>
        <w:fldChar w:fldCharType="separate"/>
      </w:r>
      <w:r w:rsidRPr="00480961">
        <w:rPr>
          <w:rFonts w:ascii="Times New Roman" w:hAnsi="Times New Roman" w:cs="Times New Roman"/>
          <w:noProof/>
          <w:sz w:val="24"/>
          <w:szCs w:val="24"/>
        </w:rPr>
        <w:t>(Survey &amp; Indicators, 2014)</w:t>
      </w:r>
      <w:r>
        <w:rPr>
          <w:rFonts w:ascii="Times New Roman" w:hAnsi="Times New Roman" w:cs="Times New Roman"/>
          <w:sz w:val="24"/>
          <w:szCs w:val="24"/>
        </w:rPr>
        <w:fldChar w:fldCharType="end"/>
      </w:r>
      <w:r>
        <w:rPr>
          <w:rFonts w:ascii="Times New Roman" w:hAnsi="Times New Roman" w:cs="Times New Roman"/>
          <w:sz w:val="24"/>
          <w:szCs w:val="24"/>
        </w:rPr>
        <w:t>. Stunting in these children can be attributed to the cumulative effect of lack of nutrients and lack of correct interventions when children present with wasting earlier. These results also agree</w:t>
      </w:r>
      <w:r w:rsidRPr="002C30B7">
        <w:rPr>
          <w:rFonts w:ascii="Times New Roman" w:hAnsi="Times New Roman" w:cs="Times New Roman"/>
          <w:sz w:val="24"/>
          <w:szCs w:val="24"/>
        </w:rPr>
        <w:t xml:space="preserve"> with </w:t>
      </w:r>
      <w:r w:rsidRPr="002C30B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{"citationItems":[{"id":"ITEM-1","itemData":{"DOI":"10.1186/1756-0500-1-7","author":[{"dropping-particle":"","family":"Ekpo","given":"Uwem F","non-dropping-particle":"","parse-names":false,"suffix":""},{"dropping-particle":"","family":"Omotayo","given":"Akin M","non-dropping-particle":"","parse-names":false,"suffix":""},{"dropping-particle":"","family":"Dipeolu","given":"Morenike A","non-dropping-particle":"","parse-names":false,"suffix":""}],"id":"ITEM-1","issued":{"date-parts":[["2008"]]},"page":"1-7","title":"Prevalence of malnutrition among settled pastoral Fulani children in Southwest Nigeria","type":"article-journal","volume":"7"},"uris":["http://www.mendeley.com/documents/?uuid=9e1be145-2e16-46e8-bb93-a437fb023f7f"]}],"mendeley":{"formattedCitation":"(Ekpo, Omotayo, &amp; Dipeolu, 2008)","manualFormatting":"Ekpo et al., (2008)","plainTextFormattedCitation":"(Ekpo, Omotayo, &amp; Dipeolu, 2008)","previouslyFormattedCitation":"(Ekpo, Omotayo, &amp; Dipeolu, 2008)"},"properties":{"noteIndex":0},"schema":"https://github.com/citation-style-language/schema/raw/master/csl-citation.json"}</w:instrText>
      </w:r>
      <w:r w:rsidRPr="002C30B7">
        <w:rPr>
          <w:rFonts w:ascii="Times New Roman" w:hAnsi="Times New Roman" w:cs="Times New Roman"/>
          <w:sz w:val="24"/>
          <w:szCs w:val="24"/>
        </w:rPr>
        <w:fldChar w:fldCharType="separate"/>
      </w:r>
      <w:r w:rsidRPr="002C30B7">
        <w:rPr>
          <w:rFonts w:ascii="Times New Roman" w:hAnsi="Times New Roman" w:cs="Times New Roman"/>
          <w:noProof/>
          <w:sz w:val="24"/>
          <w:szCs w:val="24"/>
        </w:rPr>
        <w:t xml:space="preserve">Ekpo et al., </w:t>
      </w:r>
      <w:r>
        <w:rPr>
          <w:rFonts w:ascii="Times New Roman" w:hAnsi="Times New Roman" w:cs="Times New Roman"/>
          <w:noProof/>
          <w:sz w:val="24"/>
          <w:szCs w:val="24"/>
        </w:rPr>
        <w:t>(</w:t>
      </w:r>
      <w:r w:rsidRPr="002C30B7">
        <w:rPr>
          <w:rFonts w:ascii="Times New Roman" w:hAnsi="Times New Roman" w:cs="Times New Roman"/>
          <w:noProof/>
          <w:sz w:val="24"/>
          <w:szCs w:val="24"/>
        </w:rPr>
        <w:t>2008)</w:t>
      </w:r>
      <w:r w:rsidRPr="002C30B7">
        <w:rPr>
          <w:rFonts w:ascii="Times New Roman" w:hAnsi="Times New Roman" w:cs="Times New Roman"/>
          <w:sz w:val="24"/>
          <w:szCs w:val="24"/>
        </w:rPr>
        <w:fldChar w:fldCharType="end"/>
      </w:r>
      <w:r>
        <w:rPr>
          <w:rFonts w:ascii="Times New Roman" w:hAnsi="Times New Roman" w:cs="Times New Roman"/>
          <w:sz w:val="24"/>
          <w:szCs w:val="24"/>
        </w:rPr>
        <w:t xml:space="preserve"> study that found that rates of stunting were found to be highest in children twelve to twenty three months</w:t>
      </w:r>
      <w:r w:rsidRPr="002C30B7">
        <w:rPr>
          <w:rFonts w:ascii="Times New Roman" w:hAnsi="Times New Roman" w:cs="Times New Roman"/>
          <w:sz w:val="24"/>
          <w:szCs w:val="24"/>
        </w:rPr>
        <w:t xml:space="preserve">. </w:t>
      </w:r>
      <w:r>
        <w:rPr>
          <w:rFonts w:ascii="Times New Roman" w:hAnsi="Times New Roman" w:cs="Times New Roman"/>
          <w:sz w:val="24"/>
          <w:szCs w:val="24"/>
        </w:rPr>
        <w:t xml:space="preserve">A similar observation was made by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10.1371/journal.pone.0105880","author":[{"dropping-particle":"","family":"Herrador","given":"Zaida","non-dropping-particle":"","parse-names":false,"suffix":""},{"dropping-particle":"","family":"Sordo","given":"Luis","non-dropping-particle":"","parse-names":false,"suffix":""},{"dropping-particle":"","family":"Gadisa","given":"Endalamaw","non-dropping-particle":"","parse-names":false,"suffix":""},{"dropping-particle":"","family":"Moreno","given":"Javier","non-dropping-particle":"","parse-names":false,"suffix":""},{"dropping-particle":"","family":"Nieto","given":"Javier","non-dropping-particle":"","parse-names":false,"suffix":""},{"dropping-particle":"","family":"Custodio","given":"Estefania","non-dropping-particle":"","parse-names":false,"suffix":""},{"dropping-particle":"","family":"Aseffa","given":"Abraham","non-dropping-particle":"","parse-names":false,"suffix":""},{"dropping-particle":"","family":"Can","given":"Carmen","non-dropping-particle":"","parse-names":false,"suffix":""}],"id":"ITEM-1","issue":"9","issued":{"date-parts":[["2014"]]},"page":"1-11","title":"Cross-Sectional Study of Malnutrition and Associated Factors among School Aged Children in Rural and Urban Settings of Fogera and Libo Kemkem Districts , Ethiopia","type":"article-journal","volume":"9"},"uris":["http://www.mendeley.com/documents/?uuid=7b4b5af4-c580-4db8-abe0-3e818f1d0e28"]}],"mendeley":{"formattedCitation":"(Herrador et al., 2014)","manualFormatting":"Herrador et al., (2014)","plainTextFormattedCitation":"(Herrador et al., 2014)","previouslyFormattedCitation":"(Herrador et al., 2014)"},"properties":{"noteIndex":0},"schema":"https://github.com/citation-style-language/schema/raw/master/csl-citation.json"}</w:instrText>
      </w:r>
      <w:r>
        <w:rPr>
          <w:rFonts w:ascii="Times New Roman" w:hAnsi="Times New Roman" w:cs="Times New Roman"/>
          <w:sz w:val="24"/>
          <w:szCs w:val="24"/>
        </w:rPr>
        <w:fldChar w:fldCharType="separate"/>
      </w:r>
      <w:r w:rsidRPr="00560C8C">
        <w:rPr>
          <w:rFonts w:ascii="Times New Roman" w:hAnsi="Times New Roman" w:cs="Times New Roman"/>
          <w:noProof/>
          <w:sz w:val="24"/>
          <w:szCs w:val="24"/>
        </w:rPr>
        <w:t xml:space="preserve">Herrador et al., </w:t>
      </w:r>
      <w:r>
        <w:rPr>
          <w:rFonts w:ascii="Times New Roman" w:hAnsi="Times New Roman" w:cs="Times New Roman"/>
          <w:noProof/>
          <w:sz w:val="24"/>
          <w:szCs w:val="24"/>
        </w:rPr>
        <w:t>(</w:t>
      </w:r>
      <w:r w:rsidRPr="00560C8C">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who reported that the probability of being stunted in children increased with age with more wasting seen at 6-11 months and stunting </w:t>
      </w:r>
      <w:r w:rsidR="00AB6CF3">
        <w:rPr>
          <w:rFonts w:ascii="Times New Roman" w:hAnsi="Times New Roman" w:cs="Times New Roman"/>
          <w:sz w:val="24"/>
          <w:szCs w:val="24"/>
        </w:rPr>
        <w:t xml:space="preserve">observed </w:t>
      </w:r>
      <w:r>
        <w:rPr>
          <w:rFonts w:ascii="Times New Roman" w:hAnsi="Times New Roman" w:cs="Times New Roman"/>
          <w:sz w:val="24"/>
          <w:szCs w:val="24"/>
        </w:rPr>
        <w:t xml:space="preserve">as children progressed in age. </w:t>
      </w:r>
    </w:p>
    <w:p w:rsidR="00047CA2" w:rsidRDefault="00047CA2" w:rsidP="000D229D">
      <w:pPr>
        <w:spacing w:after="0" w:line="360" w:lineRule="auto"/>
        <w:jc w:val="both"/>
        <w:rPr>
          <w:rFonts w:ascii="Times New Roman" w:hAnsi="Times New Roman" w:cs="Times New Roman"/>
          <w:sz w:val="24"/>
          <w:szCs w:val="24"/>
        </w:rPr>
      </w:pPr>
    </w:p>
    <w:p w:rsidR="00047CA2" w:rsidRDefault="00AB6CF3" w:rsidP="000D22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Stunting observed in </w:t>
      </w:r>
      <w:r w:rsidR="00047CA2">
        <w:rPr>
          <w:rFonts w:ascii="Times New Roman" w:hAnsi="Times New Roman" w:cs="Times New Roman"/>
          <w:sz w:val="24"/>
          <w:szCs w:val="24"/>
        </w:rPr>
        <w:t>children less than 6 months</w:t>
      </w:r>
      <w:r>
        <w:rPr>
          <w:rFonts w:ascii="Times New Roman" w:hAnsi="Times New Roman" w:cs="Times New Roman"/>
          <w:sz w:val="24"/>
          <w:szCs w:val="24"/>
        </w:rPr>
        <w:t xml:space="preserve"> in this study could be </w:t>
      </w:r>
      <w:r w:rsidR="00047CA2">
        <w:rPr>
          <w:rFonts w:ascii="Times New Roman" w:hAnsi="Times New Roman" w:cs="Times New Roman"/>
          <w:sz w:val="24"/>
          <w:szCs w:val="24"/>
        </w:rPr>
        <w:t>attributed to</w:t>
      </w:r>
      <w:r w:rsidR="00717F20">
        <w:rPr>
          <w:rFonts w:ascii="Times New Roman" w:hAnsi="Times New Roman" w:cs="Times New Roman"/>
          <w:sz w:val="24"/>
          <w:szCs w:val="24"/>
        </w:rPr>
        <w:t xml:space="preserve"> poor nutrition </w:t>
      </w:r>
      <w:r w:rsidR="00047CA2">
        <w:rPr>
          <w:rFonts w:ascii="Times New Roman" w:hAnsi="Times New Roman" w:cs="Times New Roman"/>
          <w:sz w:val="24"/>
          <w:szCs w:val="24"/>
        </w:rPr>
        <w:t>since exclusive breastfeeding rates were low in this</w:t>
      </w:r>
      <w:r>
        <w:rPr>
          <w:rFonts w:ascii="Times New Roman" w:hAnsi="Times New Roman" w:cs="Times New Roman"/>
          <w:sz w:val="24"/>
          <w:szCs w:val="24"/>
        </w:rPr>
        <w:t xml:space="preserve"> </w:t>
      </w:r>
      <w:r w:rsidR="002B5F64">
        <w:rPr>
          <w:rFonts w:ascii="Times New Roman" w:hAnsi="Times New Roman" w:cs="Times New Roman"/>
          <w:sz w:val="24"/>
          <w:szCs w:val="24"/>
        </w:rPr>
        <w:t>age group</w:t>
      </w:r>
      <w:r w:rsidR="00047CA2">
        <w:rPr>
          <w:rFonts w:ascii="Times New Roman" w:hAnsi="Times New Roman" w:cs="Times New Roman"/>
          <w:sz w:val="24"/>
          <w:szCs w:val="24"/>
        </w:rPr>
        <w:t>. This observatio</w:t>
      </w:r>
      <w:r>
        <w:rPr>
          <w:rFonts w:ascii="Times New Roman" w:hAnsi="Times New Roman" w:cs="Times New Roman"/>
          <w:sz w:val="24"/>
          <w:szCs w:val="24"/>
        </w:rPr>
        <w:t>n was also made in a</w:t>
      </w:r>
      <w:r w:rsidR="00047CA2">
        <w:rPr>
          <w:rFonts w:ascii="Times New Roman" w:hAnsi="Times New Roman" w:cs="Times New Roman"/>
          <w:sz w:val="24"/>
          <w:szCs w:val="24"/>
        </w:rPr>
        <w:t xml:space="preserve"> longi</w:t>
      </w:r>
      <w:r>
        <w:rPr>
          <w:rFonts w:ascii="Times New Roman" w:hAnsi="Times New Roman" w:cs="Times New Roman"/>
          <w:sz w:val="24"/>
          <w:szCs w:val="24"/>
        </w:rPr>
        <w:t>tudinal study that observed</w:t>
      </w:r>
      <w:r w:rsidR="00047CA2">
        <w:rPr>
          <w:rFonts w:ascii="Times New Roman" w:hAnsi="Times New Roman" w:cs="Times New Roman"/>
          <w:sz w:val="24"/>
          <w:szCs w:val="24"/>
        </w:rPr>
        <w:t xml:space="preserve"> growth faltering in length in some children in developing countries occurred in the first few months after birth as a result of poor feeding </w:t>
      </w:r>
      <w:r w:rsidR="00047CA2">
        <w:rPr>
          <w:rFonts w:ascii="Times New Roman" w:hAnsi="Times New Roman" w:cs="Times New Roman"/>
          <w:sz w:val="24"/>
          <w:szCs w:val="24"/>
        </w:rPr>
        <w:fldChar w:fldCharType="begin" w:fldLock="1"/>
      </w:r>
      <w:r w:rsidR="00D073AA">
        <w:rPr>
          <w:rFonts w:ascii="Times New Roman" w:hAnsi="Times New Roman" w:cs="Times New Roman"/>
          <w:sz w:val="24"/>
          <w:szCs w:val="24"/>
        </w:rPr>
        <w:instrText>ADDIN CSL_CITATION {"citationItems":[{"id":"ITEM-1","itemData":{"DOI":"10.1179/2046905514Y.0000000158","author":[{"dropping-particle":"","family":"Prendergast","given":"Andrew J","non-dropping-particle":"","parse-names":false,"suffix":""},{"dropping-particle":"","family":"Humphrey","given":"Jean H","non-dropping-particle":"","parse-names":false,"suffix":""},{"dropping-particle":"","family":"Prendergast","given":"Andrew J","non-dropping-particle":"","parse-names":false,"suffix":""},{"dropping-particle":"","family":"Humphrey","given":"Jean H","non-dropping-particle":"","parse-names":false,"suffix":""}],"id":"ITEM-1","issue":"May","issued":{"date-parts":[["2017"]]},"title":"Paediatrics and International Child Health The stunting syndrome in developing countries The stunting syndrome in developing countries","type":"article-journal","volume":"9047"},"uris":["http://www.mendeley.com/documents/?uuid=12a282cf-75c2-47fc-97c0-b38c2e02cead"]}],"mendeley":{"formattedCitation":"(Prendergast et al., 2017)","plainTextFormattedCitation":"(Prendergast et al., 2017)","previouslyFormattedCitation":"(Prendergast et al., 2017)"},"properties":{"noteIndex":0},"schema":"https://github.com/citation-style-language/schema/raw/master/csl-citation.json"}</w:instrText>
      </w:r>
      <w:r w:rsidR="00047CA2">
        <w:rPr>
          <w:rFonts w:ascii="Times New Roman" w:hAnsi="Times New Roman" w:cs="Times New Roman"/>
          <w:sz w:val="24"/>
          <w:szCs w:val="24"/>
        </w:rPr>
        <w:fldChar w:fldCharType="separate"/>
      </w:r>
      <w:r w:rsidR="00667690" w:rsidRPr="00667690">
        <w:rPr>
          <w:rFonts w:ascii="Times New Roman" w:hAnsi="Times New Roman" w:cs="Times New Roman"/>
          <w:noProof/>
          <w:sz w:val="24"/>
          <w:szCs w:val="24"/>
        </w:rPr>
        <w:t>(Prendergast et al., 2017)</w:t>
      </w:r>
      <w:r w:rsidR="00047CA2">
        <w:rPr>
          <w:rFonts w:ascii="Times New Roman" w:hAnsi="Times New Roman" w:cs="Times New Roman"/>
          <w:sz w:val="24"/>
          <w:szCs w:val="24"/>
        </w:rPr>
        <w:fldChar w:fldCharType="end"/>
      </w:r>
      <w:r w:rsidR="00717F20">
        <w:rPr>
          <w:rFonts w:ascii="Times New Roman" w:hAnsi="Times New Roman" w:cs="Times New Roman"/>
          <w:sz w:val="24"/>
          <w:szCs w:val="24"/>
        </w:rPr>
        <w:t xml:space="preserve">. This </w:t>
      </w:r>
      <w:r w:rsidR="00047CA2">
        <w:rPr>
          <w:rFonts w:ascii="Times New Roman" w:hAnsi="Times New Roman" w:cs="Times New Roman"/>
          <w:sz w:val="24"/>
          <w:szCs w:val="24"/>
        </w:rPr>
        <w:t xml:space="preserve">could </w:t>
      </w:r>
      <w:r w:rsidR="00717F20">
        <w:rPr>
          <w:rFonts w:ascii="Times New Roman" w:hAnsi="Times New Roman" w:cs="Times New Roman"/>
          <w:sz w:val="24"/>
          <w:szCs w:val="24"/>
        </w:rPr>
        <w:t xml:space="preserve">also </w:t>
      </w:r>
      <w:r w:rsidR="00047CA2">
        <w:rPr>
          <w:rFonts w:ascii="Times New Roman" w:hAnsi="Times New Roman" w:cs="Times New Roman"/>
          <w:sz w:val="24"/>
          <w:szCs w:val="24"/>
        </w:rPr>
        <w:t xml:space="preserve">be due to poor breastfeeding techniques that include </w:t>
      </w:r>
      <w:r w:rsidR="00047CA2">
        <w:rPr>
          <w:rFonts w:ascii="Times New Roman" w:hAnsi="Times New Roman" w:cs="Times New Roman"/>
          <w:sz w:val="24"/>
          <w:szCs w:val="24"/>
        </w:rPr>
        <w:lastRenderedPageBreak/>
        <w:t xml:space="preserve">wrong positioning and attachment of the baby to the mother’s breast. When breastfeeding is done correctly a child gets enough breastmilk which has been found to supply all required nutrients with changing composition from colostrums, transitional and mature milk that occurs within the first weeks after birth meeting the different physiological needs as the child grows, </w:t>
      </w:r>
      <w:r w:rsidR="00047CA2">
        <w:rPr>
          <w:rFonts w:ascii="Times New Roman" w:hAnsi="Times New Roman" w:cs="Times New Roman"/>
          <w:sz w:val="24"/>
          <w:szCs w:val="24"/>
        </w:rPr>
        <w:fldChar w:fldCharType="begin" w:fldLock="1"/>
      </w:r>
      <w:r w:rsidR="00667690">
        <w:rPr>
          <w:rFonts w:ascii="Times New Roman" w:hAnsi="Times New Roman" w:cs="Times New Roman"/>
          <w:sz w:val="24"/>
          <w:szCs w:val="24"/>
        </w:rPr>
        <w:instrText>ADDIN CSL_CITATION {"citationItems":[{"id":"ITEM-1","itemData":{"DOI":"10.3390/nu8050304","author":[{"dropping-particle":"","family":"Metabolome","given":"Human Milk","non-dropping-particle":"","parse-names":false,"suffix":""},{"dropping-particle":"","family":"Sundekilde","given":"Ulrik K","non-dropping-particle":"","parse-names":false,"suffix":""},{"dropping-particle":"","family":"Downey","given":"Eimear","non-dropping-particle":"","parse-names":false,"suffix":""},{"dropping-particle":"","family":"Mahony","given":"James A O","non-dropping-particle":"","parse-names":false,"suffix":""},{"dropping-particle":"","family":"Shea","given":"Carol-anne O","non-dropping-particle":"","parse-names":false,"suffix":""},{"dropping-particle":"","family":"Ryan","given":"C Anthony","non-dropping-particle":"","parse-names":false,"suffix":""},{"dropping-particle":"","family":"Kelly","given":"Alan L","non-dropping-particle":"","parse-names":false,"suffix":""},{"dropping-particle":"","family":"Bertram","given":"Hanne C","non-dropping-particle":"","parse-names":false,"suffix":""}],"id":"ITEM-1","issued":{"date-parts":[["2016"]]},"page":"1-15","title":"The Effect of Gestational and Lactational Age on the","type":"article-journal"},"uris":["http://www.mendeley.com/documents/?uuid=9a976064-e58c-4830-98bb-8f28bcc16583","http://www.mendeley.com/documents/?uuid=2062903e-2a40-420a-84a2-7e76fc3aa275"]}],"mendeley":{"formattedCitation":"(Metabolome et al., 2016)","manualFormatting":"(Sendukilde et al., 2016)","plainTextFormattedCitation":"(Metabolome et al., 2016)","previouslyFormattedCitation":"(Metabolome et al., 2016)"},"properties":{"noteIndex":0},"schema":"https://github.com/citation-style-language/schema/raw/master/csl-citation.json"}</w:instrText>
      </w:r>
      <w:r w:rsidR="00047CA2">
        <w:rPr>
          <w:rFonts w:ascii="Times New Roman" w:hAnsi="Times New Roman" w:cs="Times New Roman"/>
          <w:sz w:val="24"/>
          <w:szCs w:val="24"/>
        </w:rPr>
        <w:fldChar w:fldCharType="separate"/>
      </w:r>
      <w:r w:rsidR="00047CA2">
        <w:rPr>
          <w:rFonts w:ascii="Times New Roman" w:hAnsi="Times New Roman" w:cs="Times New Roman"/>
          <w:noProof/>
          <w:sz w:val="24"/>
          <w:szCs w:val="24"/>
        </w:rPr>
        <w:t xml:space="preserve">(Sendukilde </w:t>
      </w:r>
      <w:r w:rsidR="00047CA2" w:rsidRPr="00E11541">
        <w:rPr>
          <w:rFonts w:ascii="Times New Roman" w:hAnsi="Times New Roman" w:cs="Times New Roman"/>
          <w:noProof/>
          <w:sz w:val="24"/>
          <w:szCs w:val="24"/>
        </w:rPr>
        <w:t>et al., 2016)</w:t>
      </w:r>
      <w:r w:rsidR="00047CA2">
        <w:rPr>
          <w:rFonts w:ascii="Times New Roman" w:hAnsi="Times New Roman" w:cs="Times New Roman"/>
          <w:sz w:val="24"/>
          <w:szCs w:val="24"/>
        </w:rPr>
        <w:fldChar w:fldCharType="end"/>
      </w:r>
      <w:r w:rsidR="00047CA2">
        <w:rPr>
          <w:rFonts w:ascii="Times New Roman" w:hAnsi="Times New Roman" w:cs="Times New Roman"/>
          <w:sz w:val="24"/>
          <w:szCs w:val="24"/>
        </w:rPr>
        <w:t xml:space="preserve">. Other studies also show exclusive breastfeeding benefits a child by increasing </w:t>
      </w:r>
      <w:r w:rsidR="007758DD">
        <w:rPr>
          <w:rFonts w:ascii="Times New Roman" w:hAnsi="Times New Roman" w:cs="Times New Roman"/>
          <w:sz w:val="24"/>
          <w:szCs w:val="24"/>
        </w:rPr>
        <w:t>colonization</w:t>
      </w:r>
      <w:r w:rsidR="00047CA2">
        <w:rPr>
          <w:rFonts w:ascii="Times New Roman" w:hAnsi="Times New Roman" w:cs="Times New Roman"/>
          <w:sz w:val="24"/>
          <w:szCs w:val="24"/>
        </w:rPr>
        <w:t xml:space="preserve"> of a child’s gut with beneficial micro organisms which is less seen in mixed fed children This ensures maintenance  guts structural integrity, controlling of a child’s immune reaction and protections against harmful</w:t>
      </w:r>
      <w:r w:rsidR="00047CA2" w:rsidRPr="00046DDF">
        <w:rPr>
          <w:rFonts w:ascii="Times New Roman" w:hAnsi="Times New Roman" w:cs="Times New Roman"/>
          <w:sz w:val="24"/>
          <w:szCs w:val="24"/>
        </w:rPr>
        <w:t xml:space="preserve"> </w:t>
      </w:r>
      <w:r w:rsidR="00047CA2">
        <w:rPr>
          <w:rFonts w:ascii="Times New Roman" w:hAnsi="Times New Roman" w:cs="Times New Roman"/>
          <w:sz w:val="24"/>
          <w:szCs w:val="24"/>
        </w:rPr>
        <w:t xml:space="preserve">microbes,  </w:t>
      </w:r>
      <w:r w:rsidR="00047CA2">
        <w:rPr>
          <w:rFonts w:ascii="Times New Roman" w:hAnsi="Times New Roman" w:cs="Times New Roman"/>
          <w:sz w:val="24"/>
          <w:szCs w:val="24"/>
        </w:rPr>
        <w:fldChar w:fldCharType="begin" w:fldLock="1"/>
      </w:r>
      <w:r w:rsidR="00D073AA">
        <w:rPr>
          <w:rFonts w:ascii="Times New Roman" w:hAnsi="Times New Roman" w:cs="Times New Roman"/>
          <w:sz w:val="24"/>
          <w:szCs w:val="24"/>
        </w:rPr>
        <w:instrText>ADDIN CSL_CITATION {"citationItems":[{"id":"ITEM-1","itemData":{"DOI":"10.3390/nu8050279","ISBN":"2072-6643 (ISSNLinking)","ISSN":"2072-6643","PMID":"27187450","abstract":"Mothers’ own milk is the best source of nutrition for nearly all infants. Beyond somatic growth, breast milk as a biologic fluid has a variety of other benefits, including modulation of postnatal intestinal function, immune ontogeny, and brain development. Although breastfeeding is highly recommended, breastfeeding may not always be possible, suitable or solely adequate. Infant formula is an industrially produced substitute for infant consumption. Infant formula attempts to mimic the nutritional composition of breast milk as closely as possible, and is based on cow’s milk or soymilk. A number of alternatives to cow’s milk-based formula also exist. In this article, we review the nutritional information of breast milk and infant formulas for better understanding of the importance of breastfeeding and the uses of infant formula from birth to 12 months of age when a substitute form of nutrition is required.","author":[{"dropping-particle":"","family":"Martin","given":"Camilia","non-dropping-particle":"","parse-names":false,"suffix":""},{"dropping-particle":"","family":"Ling","given":"Pei-Ra","non-dropping-particle":"","parse-names":false,"suffix":""},{"dropping-particle":"","family":"Blackburn","given":"George","non-dropping-particle":"","parse-names":false,"suffix":""}],"container-title":"Nutrients","id":"ITEM-1","issue":"5","issued":{"date-parts":[["2016"]]},"page":"279","title":"Review of Infant Feeding: Key Features of Breast Milk and Infant Formula","type":"article-journal","volume":"8"},"uris":["http://www.mendeley.com/documents/?uuid=616122ec-575c-42c8-8203-a2799a1b6b83"]}],"mendeley":{"formattedCitation":"(Martin et al., 2016)","manualFormatting":"(Martin et al., 2016","plainTextFormattedCitation":"(Martin et al., 2016)","previouslyFormattedCitation":"(Martin et al., 2016)"},"properties":{"noteIndex":0},"schema":"https://github.com/citation-style-language/schema/raw/master/csl-citation.json"}</w:instrText>
      </w:r>
      <w:r w:rsidR="00047CA2">
        <w:rPr>
          <w:rFonts w:ascii="Times New Roman" w:hAnsi="Times New Roman" w:cs="Times New Roman"/>
          <w:sz w:val="24"/>
          <w:szCs w:val="24"/>
        </w:rPr>
        <w:fldChar w:fldCharType="separate"/>
      </w:r>
      <w:r w:rsidR="00047CA2" w:rsidRPr="00E11541">
        <w:rPr>
          <w:rFonts w:ascii="Times New Roman" w:hAnsi="Times New Roman" w:cs="Times New Roman"/>
          <w:noProof/>
          <w:sz w:val="24"/>
          <w:szCs w:val="24"/>
        </w:rPr>
        <w:t>(Martin et al., 2016</w:t>
      </w:r>
      <w:r w:rsidR="00047CA2">
        <w:rPr>
          <w:rFonts w:ascii="Times New Roman" w:hAnsi="Times New Roman" w:cs="Times New Roman"/>
          <w:sz w:val="24"/>
          <w:szCs w:val="24"/>
        </w:rPr>
        <w:fldChar w:fldCharType="end"/>
      </w:r>
      <w:r w:rsidR="00047CA2">
        <w:rPr>
          <w:rFonts w:ascii="Times New Roman" w:hAnsi="Times New Roman" w:cs="Times New Roman"/>
          <w:sz w:val="24"/>
          <w:szCs w:val="24"/>
        </w:rPr>
        <w:t xml:space="preserve">, </w:t>
      </w:r>
      <w:r w:rsidR="00047CA2">
        <w:rPr>
          <w:rFonts w:ascii="Times New Roman" w:hAnsi="Times New Roman" w:cs="Times New Roman"/>
          <w:sz w:val="24"/>
          <w:szCs w:val="24"/>
        </w:rPr>
        <w:fldChar w:fldCharType="begin" w:fldLock="1"/>
      </w:r>
      <w:r w:rsidR="00667690">
        <w:rPr>
          <w:rFonts w:ascii="Times New Roman" w:hAnsi="Times New Roman" w:cs="Times New Roman"/>
          <w:sz w:val="24"/>
          <w:szCs w:val="24"/>
        </w:rPr>
        <w:instrText>ADDIN CSL_CITATION {"citationItems":[{"id":"ITEM-1","itemData":{"DOI":"10.1159/000354907","author":[{"dropping-particle":"","family":"Walker","given":"W Allan","non-dropping-particle":"","parse-names":false,"suffix":""},{"dropping-particle":"","family":"Walker","given":"W Allan","non-dropping-particle":"","parse-names":false,"suffix":""}],"id":"ITEM-1","issue":"suppl 2","issued":{"date-parts":[["2013"]]},"page":"8-15","title":"FOCUS A diverse balanced microbiota is necessary for the development of an appropriate Initial Intestinal Colonization in the Human Infant and Immune Initial Intestinal Colonization in the Human Infant and Immune Homeostasis","type":"article-journal","volume":"63"},"uris":["http://www.mendeley.com/documents/?uuid=6866c6f0-f1b1-4ab4-a3a1-aaeb33b12c70","http://www.mendeley.com/documents/?uuid=f6a1ba2d-5c0c-4c27-a897-79f26b617d37"]}],"mendeley":{"formattedCitation":"(Walker &amp; Walker, 2013)","manualFormatting":"Walker &amp; Walker, 2013)","plainTextFormattedCitation":"(Walker &amp; Walker, 2013)","previouslyFormattedCitation":"(Walker &amp; Walker, 2013)"},"properties":{"noteIndex":0},"schema":"https://github.com/citation-style-language/schema/raw/master/csl-citation.json"}</w:instrText>
      </w:r>
      <w:r w:rsidR="00047CA2">
        <w:rPr>
          <w:rFonts w:ascii="Times New Roman" w:hAnsi="Times New Roman" w:cs="Times New Roman"/>
          <w:sz w:val="24"/>
          <w:szCs w:val="24"/>
        </w:rPr>
        <w:fldChar w:fldCharType="separate"/>
      </w:r>
      <w:r w:rsidR="00047CA2" w:rsidRPr="000A344A">
        <w:rPr>
          <w:rFonts w:ascii="Times New Roman" w:hAnsi="Times New Roman" w:cs="Times New Roman"/>
          <w:noProof/>
          <w:sz w:val="24"/>
          <w:szCs w:val="24"/>
        </w:rPr>
        <w:t>Walker &amp; Walker, 2013)</w:t>
      </w:r>
      <w:r w:rsidR="00047CA2">
        <w:rPr>
          <w:rFonts w:ascii="Times New Roman" w:hAnsi="Times New Roman" w:cs="Times New Roman"/>
          <w:sz w:val="24"/>
          <w:szCs w:val="24"/>
        </w:rPr>
        <w:fldChar w:fldCharType="end"/>
      </w:r>
      <w:r w:rsidR="00047CA2">
        <w:rPr>
          <w:rFonts w:ascii="Times New Roman" w:hAnsi="Times New Roman" w:cs="Times New Roman"/>
          <w:sz w:val="24"/>
          <w:szCs w:val="24"/>
        </w:rPr>
        <w:t xml:space="preserve">. Since mixed feeding was </w:t>
      </w:r>
      <w:r w:rsidR="007758DD">
        <w:rPr>
          <w:rFonts w:ascii="Times New Roman" w:hAnsi="Times New Roman" w:cs="Times New Roman"/>
          <w:sz w:val="24"/>
          <w:szCs w:val="24"/>
        </w:rPr>
        <w:t xml:space="preserve">most </w:t>
      </w:r>
      <w:r w:rsidR="00047CA2">
        <w:rPr>
          <w:rFonts w:ascii="Times New Roman" w:hAnsi="Times New Roman" w:cs="Times New Roman"/>
          <w:sz w:val="24"/>
          <w:szCs w:val="24"/>
        </w:rPr>
        <w:t xml:space="preserve">practiced for children below six months in this study, it implies that they are not receiving required nutrition for growth in length and </w:t>
      </w:r>
      <w:r w:rsidR="00717F20">
        <w:rPr>
          <w:rFonts w:ascii="Times New Roman" w:hAnsi="Times New Roman" w:cs="Times New Roman"/>
          <w:sz w:val="24"/>
          <w:szCs w:val="24"/>
        </w:rPr>
        <w:t xml:space="preserve">miss </w:t>
      </w:r>
      <w:r w:rsidR="00047CA2">
        <w:rPr>
          <w:rFonts w:ascii="Times New Roman" w:hAnsi="Times New Roman" w:cs="Times New Roman"/>
          <w:sz w:val="24"/>
          <w:szCs w:val="24"/>
        </w:rPr>
        <w:t xml:space="preserve">the other benefits of exclusive breastfeeding. </w:t>
      </w:r>
    </w:p>
    <w:p w:rsidR="00047CA2" w:rsidRDefault="00047CA2" w:rsidP="000D229D">
      <w:pPr>
        <w:spacing w:after="0" w:line="360" w:lineRule="auto"/>
        <w:jc w:val="both"/>
        <w:rPr>
          <w:rFonts w:ascii="Times New Roman" w:hAnsi="Times New Roman" w:cs="Times New Roman"/>
          <w:sz w:val="24"/>
          <w:szCs w:val="24"/>
        </w:rPr>
      </w:pPr>
    </w:p>
    <w:p w:rsidR="00047CA2" w:rsidRDefault="00047CA2" w:rsidP="000D22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exclusive breastfeeding contributes to increase in length in children 0-6 months, it has also seen to be positively associated length for age z scores of children 6-11 months than predominant breastfeeding and mixed feeding, </w:t>
      </w:r>
      <w:r>
        <w:rPr>
          <w:rFonts w:ascii="Times New Roman" w:hAnsi="Times New Roman" w:cs="Times New Roman"/>
          <w:sz w:val="24"/>
          <w:szCs w:val="24"/>
        </w:rPr>
        <w:fldChar w:fldCharType="begin" w:fldLock="1"/>
      </w:r>
      <w:r w:rsidR="00667690">
        <w:rPr>
          <w:rFonts w:ascii="Times New Roman" w:hAnsi="Times New Roman" w:cs="Times New Roman"/>
          <w:sz w:val="24"/>
          <w:szCs w:val="24"/>
        </w:rPr>
        <w:instrText>ADDIN CSL_CITATION {"citationItems":[{"id":"ITEM-1","itemData":{"DOI":"10.1038/ejcn.2014.148","ISSN":"0954-3007","author":[{"dropping-particle":"","family":"Kamudoni","given":"P","non-dropping-particle":"","parse-names":false,"suffix":""},{"dropping-particle":"","family":"Maleta","given":"K","non-dropping-particle":"","parse-names":false,"suffix":""},{"dropping-particle":"","family":"Shi","given":"Z","non-dropping-particle":"","parse-names":false,"suffix":""}],"id":"ITEM-1","issue":"1","issued":{"date-parts":[["2014"]]},"page":"96-101","publisher":"Nature Publishing Group","title":"Exclusive breastfeeding duration during the fi rst 6 months of life is positively associated with length-for-age among infants 6 – 12 months old , in Mangochi district , Malawi","type":"article-journal","volume":"69"},"uris":["http://www.mendeley.com/documents/?uuid=fcde7a62-4c43-48a4-894e-807e5827fe23","http://www.mendeley.com/documents/?uuid=a2aaf9be-44e1-4184-b3b6-8e3efdbae84b"]}],"mendeley":{"formattedCitation":"(Kamudoni, Maleta, &amp; Shi, 2014)","plainTextFormattedCitation":"(Kamudoni, Maleta, &amp; Shi, 2014)","previouslyFormattedCitation":"(Kamudoni, Maleta, &amp; Shi, 2014)"},"properties":{"noteIndex":0},"schema":"https://github.com/citation-style-language/schema/raw/master/csl-citation.json"}</w:instrText>
      </w:r>
      <w:r>
        <w:rPr>
          <w:rFonts w:ascii="Times New Roman" w:hAnsi="Times New Roman" w:cs="Times New Roman"/>
          <w:sz w:val="24"/>
          <w:szCs w:val="24"/>
        </w:rPr>
        <w:fldChar w:fldCharType="separate"/>
      </w:r>
      <w:r w:rsidRPr="008005FD">
        <w:rPr>
          <w:rFonts w:ascii="Times New Roman" w:hAnsi="Times New Roman" w:cs="Times New Roman"/>
          <w:noProof/>
          <w:sz w:val="24"/>
          <w:szCs w:val="24"/>
        </w:rPr>
        <w:t>(Kamudoni, Maleta, &amp; Shi, 2014)</w:t>
      </w:r>
      <w:r>
        <w:rPr>
          <w:rFonts w:ascii="Times New Roman" w:hAnsi="Times New Roman" w:cs="Times New Roman"/>
          <w:sz w:val="24"/>
          <w:szCs w:val="24"/>
        </w:rPr>
        <w:fldChar w:fldCharType="end"/>
      </w:r>
      <w:r>
        <w:rPr>
          <w:rFonts w:ascii="Times New Roman" w:hAnsi="Times New Roman" w:cs="Times New Roman"/>
          <w:sz w:val="24"/>
          <w:szCs w:val="24"/>
        </w:rPr>
        <w:t>. In addition to this a</w:t>
      </w:r>
      <w:r w:rsidRPr="002C30B7">
        <w:rPr>
          <w:rFonts w:ascii="Times New Roman" w:hAnsi="Times New Roman" w:cs="Times New Roman"/>
          <w:sz w:val="24"/>
          <w:szCs w:val="24"/>
        </w:rPr>
        <w:t xml:space="preserve"> child</w:t>
      </w:r>
      <w:r>
        <w:rPr>
          <w:rFonts w:ascii="Times New Roman" w:hAnsi="Times New Roman" w:cs="Times New Roman"/>
          <w:sz w:val="24"/>
          <w:szCs w:val="24"/>
        </w:rPr>
        <w:t>’s</w:t>
      </w:r>
      <w:r w:rsidRPr="002C30B7">
        <w:rPr>
          <w:rFonts w:ascii="Times New Roman" w:hAnsi="Times New Roman" w:cs="Times New Roman"/>
          <w:sz w:val="24"/>
          <w:szCs w:val="24"/>
        </w:rPr>
        <w:t xml:space="preserve"> gastro intestinal system is </w:t>
      </w:r>
      <w:r>
        <w:rPr>
          <w:rFonts w:ascii="Times New Roman" w:hAnsi="Times New Roman" w:cs="Times New Roman"/>
          <w:sz w:val="24"/>
          <w:szCs w:val="24"/>
        </w:rPr>
        <w:t xml:space="preserve">been found </w:t>
      </w:r>
      <w:r w:rsidRPr="002C30B7">
        <w:rPr>
          <w:rFonts w:ascii="Times New Roman" w:hAnsi="Times New Roman" w:cs="Times New Roman"/>
          <w:sz w:val="24"/>
          <w:szCs w:val="24"/>
        </w:rPr>
        <w:t>not re</w:t>
      </w:r>
      <w:r>
        <w:rPr>
          <w:rFonts w:ascii="Times New Roman" w:hAnsi="Times New Roman" w:cs="Times New Roman"/>
          <w:sz w:val="24"/>
          <w:szCs w:val="24"/>
        </w:rPr>
        <w:t>ady to digest other foods other</w:t>
      </w:r>
      <w:r w:rsidRPr="002C30B7">
        <w:rPr>
          <w:rFonts w:ascii="Times New Roman" w:hAnsi="Times New Roman" w:cs="Times New Roman"/>
          <w:sz w:val="24"/>
          <w:szCs w:val="24"/>
        </w:rPr>
        <w:t xml:space="preserve"> than breast milk or breast milk substitute</w:t>
      </w:r>
      <w:r>
        <w:rPr>
          <w:rFonts w:ascii="Times New Roman" w:hAnsi="Times New Roman" w:cs="Times New Roman"/>
          <w:sz w:val="24"/>
          <w:szCs w:val="24"/>
        </w:rPr>
        <w:t>s</w:t>
      </w:r>
      <w:r w:rsidRPr="002C30B7">
        <w:rPr>
          <w:rFonts w:ascii="Times New Roman" w:hAnsi="Times New Roman" w:cs="Times New Roman"/>
          <w:sz w:val="24"/>
          <w:szCs w:val="24"/>
        </w:rPr>
        <w:t xml:space="preserve"> </w:t>
      </w:r>
      <w:r>
        <w:rPr>
          <w:rFonts w:ascii="Times New Roman" w:hAnsi="Times New Roman" w:cs="Times New Roman"/>
          <w:sz w:val="24"/>
          <w:szCs w:val="24"/>
        </w:rPr>
        <w:t xml:space="preserve">when necessary </w:t>
      </w:r>
      <w:r w:rsidRPr="002C30B7">
        <w:rPr>
          <w:rFonts w:ascii="Times New Roman" w:hAnsi="Times New Roman" w:cs="Times New Roman"/>
          <w:sz w:val="24"/>
          <w:szCs w:val="24"/>
        </w:rPr>
        <w:t>at this age</w:t>
      </w:r>
      <w:r>
        <w:rPr>
          <w:rFonts w:ascii="Times New Roman" w:hAnsi="Times New Roman" w:cs="Times New Roman"/>
          <w:sz w:val="24"/>
          <w:szCs w:val="24"/>
        </w:rPr>
        <w:t>.  Thus,</w:t>
      </w:r>
      <w:r w:rsidRPr="002C30B7">
        <w:rPr>
          <w:rFonts w:ascii="Times New Roman" w:hAnsi="Times New Roman" w:cs="Times New Roman"/>
          <w:sz w:val="24"/>
          <w:szCs w:val="24"/>
        </w:rPr>
        <w:t xml:space="preserve"> early i</w:t>
      </w:r>
      <w:r>
        <w:rPr>
          <w:rFonts w:ascii="Times New Roman" w:hAnsi="Times New Roman" w:cs="Times New Roman"/>
          <w:sz w:val="24"/>
          <w:szCs w:val="24"/>
        </w:rPr>
        <w:t>ntroduction of food to</w:t>
      </w:r>
      <w:r w:rsidRPr="002C30B7">
        <w:rPr>
          <w:rFonts w:ascii="Times New Roman" w:hAnsi="Times New Roman" w:cs="Times New Roman"/>
          <w:sz w:val="24"/>
          <w:szCs w:val="24"/>
        </w:rPr>
        <w:t xml:space="preserve"> children less than 6 months </w:t>
      </w:r>
      <w:r>
        <w:rPr>
          <w:rFonts w:ascii="Times New Roman" w:hAnsi="Times New Roman" w:cs="Times New Roman"/>
          <w:sz w:val="24"/>
          <w:szCs w:val="24"/>
        </w:rPr>
        <w:t xml:space="preserve">as observed  in this study and use of liquids in addition to breastmilk for the predominantly breastfed children </w:t>
      </w:r>
      <w:r w:rsidRPr="002C30B7">
        <w:rPr>
          <w:rFonts w:ascii="Times New Roman" w:hAnsi="Times New Roman" w:cs="Times New Roman"/>
          <w:sz w:val="24"/>
          <w:szCs w:val="24"/>
        </w:rPr>
        <w:t>interferes with</w:t>
      </w:r>
      <w:r>
        <w:rPr>
          <w:rFonts w:ascii="Times New Roman" w:hAnsi="Times New Roman" w:cs="Times New Roman"/>
          <w:sz w:val="24"/>
          <w:szCs w:val="24"/>
        </w:rPr>
        <w:t xml:space="preserve"> intake of sufficient breastmilk, optimal nutrient digestion and absorption </w:t>
      </w:r>
      <w:r w:rsidRPr="002C30B7">
        <w:rPr>
          <w:rFonts w:ascii="Times New Roman" w:hAnsi="Times New Roman" w:cs="Times New Roman"/>
          <w:sz w:val="24"/>
          <w:szCs w:val="24"/>
        </w:rPr>
        <w:t xml:space="preserve">affecting </w:t>
      </w:r>
      <w:r>
        <w:rPr>
          <w:rFonts w:ascii="Times New Roman" w:hAnsi="Times New Roman" w:cs="Times New Roman"/>
          <w:sz w:val="24"/>
          <w:szCs w:val="24"/>
        </w:rPr>
        <w:t>child</w:t>
      </w:r>
      <w:r w:rsidRPr="002C30B7">
        <w:rPr>
          <w:rFonts w:ascii="Times New Roman" w:hAnsi="Times New Roman" w:cs="Times New Roman"/>
          <w:sz w:val="24"/>
          <w:szCs w:val="24"/>
        </w:rPr>
        <w:t xml:space="preserve"> growth as indicate</w:t>
      </w:r>
      <w:r>
        <w:rPr>
          <w:rFonts w:ascii="Times New Roman" w:hAnsi="Times New Roman" w:cs="Times New Roman"/>
          <w:sz w:val="24"/>
          <w:szCs w:val="24"/>
        </w:rPr>
        <w:t>d</w:t>
      </w:r>
      <w:r w:rsidRPr="002C30B7">
        <w:rPr>
          <w:rFonts w:ascii="Times New Roman" w:hAnsi="Times New Roman" w:cs="Times New Roman"/>
          <w:sz w:val="24"/>
          <w:szCs w:val="24"/>
        </w:rPr>
        <w:t xml:space="preserve"> by </w:t>
      </w:r>
      <w:r w:rsidRPr="002C30B7">
        <w:rPr>
          <w:rFonts w:ascii="Times New Roman" w:hAnsi="Times New Roman" w:cs="Times New Roman"/>
          <w:sz w:val="24"/>
          <w:szCs w:val="24"/>
        </w:rPr>
        <w:fldChar w:fldCharType="begin" w:fldLock="1"/>
      </w:r>
      <w:r w:rsidRPr="002C30B7">
        <w:rPr>
          <w:rFonts w:ascii="Times New Roman" w:hAnsi="Times New Roman" w:cs="Times New Roman"/>
          <w:sz w:val="24"/>
          <w:szCs w:val="24"/>
        </w:rPr>
        <w:instrText>ADDIN CSL_CITATION {"citationItems":[{"id":"ITEM-1","itemData":{"DOI":"10.3390/nu8050279","ISBN":"2072-6643 (ISSNLinking)","ISSN":"2072-6643","PMID":"27187450","abstract":"Mothers’ own milk is the best source of nutrition for nearly all infants. Beyond somatic growth, breast milk as a biologic fluid has a variety of other benefits, including modulation of postnatal intestinal function, immune ontogeny, and brain development. Although breastfeeding is highly recommended, breastfeeding may not always be possible, suitable or solely adequate. Infant formula is an industrially produced substitute for infant consumption. Infant formula attempts to mimic the nutritional composition of breast milk as closely as possible, and is based on cow’s milk or soymilk. A number of alternatives to cow’s milk-based formula also exist. In this article, we review the nutritional information of breast milk and infant formulas for better understanding of the importance of breastfeeding and the uses of infant formula from birth to 12 months of age when a substitute form of nutrition is required.","author":[{"dropping-particle":"","family":"Martin","given":"Camilia","non-dropping-particle":"","parse-names":false,"suffix":""},{"dropping-particle":"","family":"Ling","given":"Pei-Ra","non-dropping-particle":"","parse-names":false,"suffix":""},{"dropping-particle":"","family":"Blackburn","given":"George","non-dropping-particle":"","parse-names":false,"suffix":""}],"container-title":"Nutrients","id":"ITEM-1","issue":"5","issued":{"date-parts":[["2016"]]},"page":"279","title":"Review of Infant Feeding: Key Features of Breast Milk and Infant Formula","type":"article-journal","volume":"8"},"uris":["http://www.mendeley.com/documents/?uuid=616122ec-575c-42c8-8203-a2799a1b6b83"]}],"mendeley":{"formattedCitation":"(Martin et al., 2016)","plainTextFormattedCitation":"(Martin et al., 2016)","previouslyFormattedCitation":"(Martin et al., 2016)"},"properties":{"noteIndex":0},"schema":"https://github.com/citation-style-language/schema/raw/master/csl-citation.json"}</w:instrText>
      </w:r>
      <w:r w:rsidRPr="002C30B7">
        <w:rPr>
          <w:rFonts w:ascii="Times New Roman" w:hAnsi="Times New Roman" w:cs="Times New Roman"/>
          <w:sz w:val="24"/>
          <w:szCs w:val="24"/>
        </w:rPr>
        <w:fldChar w:fldCharType="separate"/>
      </w:r>
      <w:r w:rsidRPr="002C30B7">
        <w:rPr>
          <w:rFonts w:ascii="Times New Roman" w:hAnsi="Times New Roman" w:cs="Times New Roman"/>
          <w:noProof/>
          <w:sz w:val="24"/>
          <w:szCs w:val="24"/>
        </w:rPr>
        <w:t>(Martin et al., 2016)</w:t>
      </w:r>
      <w:r w:rsidRPr="002C30B7">
        <w:rPr>
          <w:rFonts w:ascii="Times New Roman" w:hAnsi="Times New Roman" w:cs="Times New Roman"/>
          <w:sz w:val="24"/>
          <w:szCs w:val="24"/>
        </w:rPr>
        <w:fldChar w:fldCharType="end"/>
      </w:r>
      <w:r>
        <w:rPr>
          <w:rFonts w:ascii="Times New Roman" w:hAnsi="Times New Roman" w:cs="Times New Roman"/>
          <w:sz w:val="24"/>
          <w:szCs w:val="24"/>
        </w:rPr>
        <w:t>. Therefore interventions focused towards promotion of exclusive breastfeeding are required for children 0-6 months to reduce stunting.</w:t>
      </w:r>
    </w:p>
    <w:p w:rsidR="00047CA2" w:rsidRPr="002C30B7" w:rsidRDefault="00047CA2" w:rsidP="000D229D">
      <w:pPr>
        <w:spacing w:after="0" w:line="360" w:lineRule="auto"/>
        <w:jc w:val="both"/>
        <w:rPr>
          <w:rFonts w:ascii="Times New Roman" w:hAnsi="Times New Roman" w:cs="Times New Roman"/>
          <w:sz w:val="24"/>
          <w:szCs w:val="24"/>
        </w:rPr>
      </w:pPr>
    </w:p>
    <w:p w:rsidR="00047CA2" w:rsidRDefault="00321F29" w:rsidP="000D22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had </w:t>
      </w:r>
      <w:r w:rsidR="00047CA2">
        <w:rPr>
          <w:rFonts w:ascii="Times New Roman" w:hAnsi="Times New Roman" w:cs="Times New Roman"/>
          <w:sz w:val="24"/>
          <w:szCs w:val="24"/>
        </w:rPr>
        <w:t xml:space="preserve">about a third of children six to twenty three months </w:t>
      </w:r>
      <w:r>
        <w:rPr>
          <w:rFonts w:ascii="Times New Roman" w:hAnsi="Times New Roman" w:cs="Times New Roman"/>
          <w:sz w:val="24"/>
          <w:szCs w:val="24"/>
        </w:rPr>
        <w:t xml:space="preserve">who </w:t>
      </w:r>
      <w:r w:rsidR="00047CA2">
        <w:rPr>
          <w:rFonts w:ascii="Times New Roman" w:hAnsi="Times New Roman" w:cs="Times New Roman"/>
          <w:sz w:val="24"/>
          <w:szCs w:val="24"/>
        </w:rPr>
        <w:t xml:space="preserve">had ceased breast feeding. In a systematic review of studies on complimentary feeding, breast milk was found to provide about half of energy requirements for children 6-11 months and a third of the energy requirements for 12-23 months, therefore lack of this supply as observed in this study denies a child required nutrients for growth, </w:t>
      </w:r>
      <w:r w:rsidR="00047CA2">
        <w:rPr>
          <w:rFonts w:ascii="Times New Roman" w:hAnsi="Times New Roman" w:cs="Times New Roman"/>
          <w:sz w:val="24"/>
          <w:szCs w:val="24"/>
        </w:rPr>
        <w:fldChar w:fldCharType="begin" w:fldLock="1"/>
      </w:r>
      <w:r w:rsidR="00667690">
        <w:rPr>
          <w:rFonts w:ascii="Times New Roman" w:hAnsi="Times New Roman" w:cs="Times New Roman"/>
          <w:sz w:val="24"/>
          <w:szCs w:val="24"/>
        </w:rPr>
        <w:instrText>ADDIN CSL_CITATION {"citationItems":[{"id":"ITEM-1","itemData":{"author":[{"dropping-particle":"","family":"Dewey","given":"Kathryn G","non-dropping-particle":"","parse-names":false,"suffix":""},{"dropping-particle":"","family":"Brown","given":"Kenneth H","non-dropping-particle":"","parse-names":false,"suffix":""}],"id":"ITEM-1","issue":"1","issued":{"date-parts":[["2003"]]},"page":"5-28","title":"Update on technical issues concerning complementary feeding of young children in developing countries and implications for intervention programs","type":"article-journal","volume":"24"},"uris":["http://www.mendeley.com/documents/?uuid=aa64408b-a301-43f6-8add-ec61275f67fc","http://www.mendeley.com/documents/?uuid=64fc572c-a471-4e9e-ae2b-d192c9bdb075"]}],"mendeley":{"formattedCitation":"(Dewey &amp; Brown, 2003)","plainTextFormattedCitation":"(Dewey &amp; Brown, 2003)","previouslyFormattedCitation":"(Dewey &amp; Brown, 2003)"},"properties":{"noteIndex":0},"schema":"https://github.com/citation-style-language/schema/raw/master/csl-citation.json"}</w:instrText>
      </w:r>
      <w:r w:rsidR="00047CA2">
        <w:rPr>
          <w:rFonts w:ascii="Times New Roman" w:hAnsi="Times New Roman" w:cs="Times New Roman"/>
          <w:sz w:val="24"/>
          <w:szCs w:val="24"/>
        </w:rPr>
        <w:fldChar w:fldCharType="separate"/>
      </w:r>
      <w:r w:rsidR="00047CA2" w:rsidRPr="00962614">
        <w:rPr>
          <w:rFonts w:ascii="Times New Roman" w:hAnsi="Times New Roman" w:cs="Times New Roman"/>
          <w:noProof/>
          <w:sz w:val="24"/>
          <w:szCs w:val="24"/>
        </w:rPr>
        <w:t>(Dewey &amp; Brown, 2003)</w:t>
      </w:r>
      <w:r w:rsidR="00047CA2">
        <w:rPr>
          <w:rFonts w:ascii="Times New Roman" w:hAnsi="Times New Roman" w:cs="Times New Roman"/>
          <w:sz w:val="24"/>
          <w:szCs w:val="24"/>
        </w:rPr>
        <w:fldChar w:fldCharType="end"/>
      </w:r>
      <w:r w:rsidR="00047CA2">
        <w:rPr>
          <w:rFonts w:ascii="Times New Roman" w:hAnsi="Times New Roman" w:cs="Times New Roman"/>
          <w:sz w:val="24"/>
          <w:szCs w:val="24"/>
        </w:rPr>
        <w:t xml:space="preserve">. Other studies further observed that sub optimal breastfeeding and early cessation of breastfeeding  increased morbidity in children especially diarrhoea and pneumonia that hamper nutrient intake and absorption, leading to stunting in the long run </w:t>
      </w:r>
      <w:r w:rsidR="00047CA2">
        <w:rPr>
          <w:rFonts w:ascii="Times New Roman" w:hAnsi="Times New Roman" w:cs="Times New Roman"/>
          <w:sz w:val="24"/>
          <w:szCs w:val="24"/>
        </w:rPr>
        <w:fldChar w:fldCharType="begin" w:fldLock="1"/>
      </w:r>
      <w:r w:rsidR="00667690">
        <w:rPr>
          <w:rFonts w:ascii="Times New Roman" w:hAnsi="Times New Roman" w:cs="Times New Roman"/>
          <w:sz w:val="24"/>
          <w:szCs w:val="24"/>
        </w:rPr>
        <w:instrText>ADDIN CSL_CITATION {"citationItems":[{"id":"ITEM-1","itemData":{"DOI":"10.1111/apa.13147","author":[{"dropping-particle":"","family":"Sankar","given":"Mari Jeeva","non-dropping-particle":"","parse-names":false,"suffix":""},{"dropping-particle":"","family":"Sinha","given":"Bireshwar","non-dropping-particle":"","parse-names":false,"suffix":""},{"dropping-particle":"","family":"Chowdhury","given":"Ranadip","non-dropping-particle":"","parse-names":false,"suffix":""},{"dropping-particle":"","family":"Bhandari","given":"Nita","non-dropping-particle":"","parse-names":false,"suffix":""},{"dropping-particle":"","family":"Taneja","given":"Sunita","non-dropping-particle":"","parse-names":false,"suffix":""},{"dropping-particle":"","family":"Martines","given":"Jose","non-dropping-particle":"","parse-names":false,"suffix":""},{"dropping-particle":"","family":"Bahl","given":"Rajiv","non-dropping-particle":"","parse-names":false,"suffix":""}],"id":"ITEM-1","issued":{"date-parts":[["2015"]]},"page":"3-13","title":"Optimal breastfeeding practices and infant and child mortality : a systematic review and meta-analysis","type":"article-journal"},"uris":["http://www.mendeley.com/documents/?uuid=ee510f7c-9060-48dc-8408-39452988244f","http://www.mendeley.com/documents/?uuid=6ebf014e-fd01-418a-9c1b-213114057ed5"]}],"mendeley":{"formattedCitation":"(Sankar et al., 2015)","plainTextFormattedCitation":"(Sankar et al., 2015)","previouslyFormattedCitation":"(Sankar et al., 2015)"},"properties":{"noteIndex":0},"schema":"https://github.com/citation-style-language/schema/raw/master/csl-citation.json"}</w:instrText>
      </w:r>
      <w:r w:rsidR="00047CA2">
        <w:rPr>
          <w:rFonts w:ascii="Times New Roman" w:hAnsi="Times New Roman" w:cs="Times New Roman"/>
          <w:sz w:val="24"/>
          <w:szCs w:val="24"/>
        </w:rPr>
        <w:fldChar w:fldCharType="separate"/>
      </w:r>
      <w:r w:rsidR="00047CA2" w:rsidRPr="006753E8">
        <w:rPr>
          <w:rFonts w:ascii="Times New Roman" w:hAnsi="Times New Roman" w:cs="Times New Roman"/>
          <w:noProof/>
          <w:sz w:val="24"/>
          <w:szCs w:val="24"/>
        </w:rPr>
        <w:t>(Sankar et al., 2015)</w:t>
      </w:r>
      <w:r w:rsidR="00047CA2">
        <w:rPr>
          <w:rFonts w:ascii="Times New Roman" w:hAnsi="Times New Roman" w:cs="Times New Roman"/>
          <w:sz w:val="24"/>
          <w:szCs w:val="24"/>
        </w:rPr>
        <w:fldChar w:fldCharType="end"/>
      </w:r>
      <w:r w:rsidR="00047CA2">
        <w:rPr>
          <w:rFonts w:ascii="Times New Roman" w:hAnsi="Times New Roman" w:cs="Times New Roman"/>
          <w:sz w:val="24"/>
          <w:szCs w:val="24"/>
        </w:rPr>
        <w:t xml:space="preserve">. </w:t>
      </w:r>
      <w:r w:rsidR="00047CA2" w:rsidRPr="002C30B7">
        <w:rPr>
          <w:rFonts w:ascii="Times New Roman" w:hAnsi="Times New Roman" w:cs="Times New Roman"/>
          <w:sz w:val="24"/>
          <w:szCs w:val="24"/>
        </w:rPr>
        <w:fldChar w:fldCharType="begin" w:fldLock="1"/>
      </w:r>
      <w:r w:rsidR="00047CA2">
        <w:rPr>
          <w:rFonts w:ascii="Times New Roman" w:hAnsi="Times New Roman" w:cs="Times New Roman"/>
          <w:sz w:val="24"/>
          <w:szCs w:val="24"/>
        </w:rPr>
        <w:instrText>ADDIN CSL_CITATION {"citationItems":[{"id":"ITEM-1","itemData":{"author":[{"dropping-particle":"","family":"Kasai","given":"East","non-dropping-particle":"","parse-names":false,"suffix":""},{"dropping-particle":"","family":"Republic","given":"Democratic","non-dropping-particle":"","parse-names":false,"suffix":""}],"id":"ITEM-1","issued":{"date-parts":[["0"]]},"page":"1-12","title":"Malnutrition in a land of plenty","type":"article-journal","volume":"1"},"uris":["http://www.mendeley.com/documents/?uuid=dcffbd72-4f3f-4001-ab57-471b5dd7cfc1"]}],"mendeley":{"formattedCitation":"(Kasai &amp; Republic, n.d.)","manualFormatting":"Kasai &amp; Republic, (2009)","plainTextFormattedCitation":"(Kasai &amp; Republic, n.d.)","previouslyFormattedCitation":"(Kasai &amp; Republic, n.d.)"},"properties":{"noteIndex":0},"schema":"https://github.com/citation-style-language/schema/raw/master/csl-citation.json"}</w:instrText>
      </w:r>
      <w:r w:rsidR="00047CA2" w:rsidRPr="002C30B7">
        <w:rPr>
          <w:rFonts w:ascii="Times New Roman" w:hAnsi="Times New Roman" w:cs="Times New Roman"/>
          <w:sz w:val="24"/>
          <w:szCs w:val="24"/>
        </w:rPr>
        <w:fldChar w:fldCharType="separate"/>
      </w:r>
      <w:r w:rsidR="00047CA2" w:rsidRPr="002C30B7">
        <w:rPr>
          <w:rFonts w:ascii="Times New Roman" w:hAnsi="Times New Roman" w:cs="Times New Roman"/>
          <w:noProof/>
          <w:sz w:val="24"/>
          <w:szCs w:val="24"/>
        </w:rPr>
        <w:t xml:space="preserve">Kasai &amp; Republic, </w:t>
      </w:r>
      <w:r w:rsidR="00047CA2">
        <w:rPr>
          <w:rFonts w:ascii="Times New Roman" w:hAnsi="Times New Roman" w:cs="Times New Roman"/>
          <w:noProof/>
          <w:sz w:val="24"/>
          <w:szCs w:val="24"/>
        </w:rPr>
        <w:t>(</w:t>
      </w:r>
      <w:r w:rsidR="00047CA2" w:rsidRPr="002C30B7">
        <w:rPr>
          <w:rFonts w:ascii="Times New Roman" w:hAnsi="Times New Roman" w:cs="Times New Roman"/>
          <w:noProof/>
          <w:sz w:val="24"/>
          <w:szCs w:val="24"/>
        </w:rPr>
        <w:t>2009)</w:t>
      </w:r>
      <w:r w:rsidR="00047CA2" w:rsidRPr="002C30B7">
        <w:rPr>
          <w:rFonts w:ascii="Times New Roman" w:hAnsi="Times New Roman" w:cs="Times New Roman"/>
          <w:sz w:val="24"/>
          <w:szCs w:val="24"/>
        </w:rPr>
        <w:fldChar w:fldCharType="end"/>
      </w:r>
      <w:r w:rsidR="00047CA2">
        <w:rPr>
          <w:rFonts w:ascii="Times New Roman" w:hAnsi="Times New Roman" w:cs="Times New Roman"/>
          <w:sz w:val="24"/>
          <w:szCs w:val="24"/>
        </w:rPr>
        <w:t xml:space="preserve"> agrees with that early </w:t>
      </w:r>
      <w:r w:rsidR="00047CA2">
        <w:rPr>
          <w:rFonts w:ascii="Times New Roman" w:hAnsi="Times New Roman" w:cs="Times New Roman"/>
          <w:sz w:val="24"/>
          <w:szCs w:val="24"/>
        </w:rPr>
        <w:lastRenderedPageBreak/>
        <w:t xml:space="preserve">stoppage of breastfeeding </w:t>
      </w:r>
      <w:r w:rsidR="00D97967">
        <w:rPr>
          <w:rFonts w:ascii="Times New Roman" w:hAnsi="Times New Roman" w:cs="Times New Roman"/>
          <w:sz w:val="24"/>
          <w:szCs w:val="24"/>
        </w:rPr>
        <w:t xml:space="preserve">as seen in this study </w:t>
      </w:r>
      <w:r w:rsidR="00047CA2">
        <w:rPr>
          <w:rFonts w:ascii="Times New Roman" w:hAnsi="Times New Roman" w:cs="Times New Roman"/>
          <w:sz w:val="24"/>
          <w:szCs w:val="24"/>
        </w:rPr>
        <w:t>was found to be one of the causes of stunting</w:t>
      </w:r>
      <w:r w:rsidR="00047CA2" w:rsidRPr="002C30B7">
        <w:rPr>
          <w:rFonts w:ascii="Times New Roman" w:hAnsi="Times New Roman" w:cs="Times New Roman"/>
          <w:sz w:val="24"/>
          <w:szCs w:val="24"/>
        </w:rPr>
        <w:t xml:space="preserve"> in food secure area</w:t>
      </w:r>
      <w:r w:rsidR="00047CA2">
        <w:rPr>
          <w:rFonts w:ascii="Times New Roman" w:hAnsi="Times New Roman" w:cs="Times New Roman"/>
          <w:sz w:val="24"/>
          <w:szCs w:val="24"/>
        </w:rPr>
        <w:t xml:space="preserve">s. Since the place of this study is classified as food secure, with most households consuming at least six food groups, </w:t>
      </w:r>
      <w:r w:rsidR="00047CA2">
        <w:rPr>
          <w:rFonts w:ascii="Times New Roman" w:hAnsi="Times New Roman" w:cs="Times New Roman"/>
          <w:sz w:val="24"/>
          <w:szCs w:val="24"/>
        </w:rPr>
        <w:fldChar w:fldCharType="begin" w:fldLock="1"/>
      </w:r>
      <w:r w:rsidR="00047CA2">
        <w:rPr>
          <w:rFonts w:ascii="Times New Roman" w:hAnsi="Times New Roman" w:cs="Times New Roman"/>
          <w:sz w:val="24"/>
          <w:szCs w:val="24"/>
        </w:rPr>
        <w:instrText>ADDIN CSL_CITATION {"citationItems":[{"id":"ITEM-1","itemData":{"author":[{"dropping-particle":"","family":"Security","given":"Comprehensive Food","non-dropping-particle":"","parse-names":false,"suffix":""}],"id":"ITEM-1","issued":{"date-parts":[["2016"]]},"title":"Comprehensive Food Security and Vulnerability Analysis (CFSVA) Kenya 2016","type":"article-journal"},"uris":["http://www.mendeley.com/documents/?uuid=d9bc91af-6246-4cad-b060-25b840aed1d2"]}],"mendeley":{"formattedCitation":"(Security, 2016)","manualFormatting":"Security, (2016)","plainTextFormattedCitation":"(Security, 2016)","previouslyFormattedCitation":"(Security, 2016)"},"properties":{"noteIndex":0},"schema":"https://github.com/citation-style-language/schema/raw/master/csl-citation.json"}</w:instrText>
      </w:r>
      <w:r w:rsidR="00047CA2">
        <w:rPr>
          <w:rFonts w:ascii="Times New Roman" w:hAnsi="Times New Roman" w:cs="Times New Roman"/>
          <w:sz w:val="24"/>
          <w:szCs w:val="24"/>
        </w:rPr>
        <w:fldChar w:fldCharType="separate"/>
      </w:r>
      <w:r w:rsidR="00047CA2" w:rsidRPr="009216D7">
        <w:rPr>
          <w:rFonts w:ascii="Times New Roman" w:hAnsi="Times New Roman" w:cs="Times New Roman"/>
          <w:noProof/>
          <w:sz w:val="24"/>
          <w:szCs w:val="24"/>
        </w:rPr>
        <w:t xml:space="preserve">Security, </w:t>
      </w:r>
      <w:r w:rsidR="00047CA2">
        <w:rPr>
          <w:rFonts w:ascii="Times New Roman" w:hAnsi="Times New Roman" w:cs="Times New Roman"/>
          <w:noProof/>
          <w:sz w:val="24"/>
          <w:szCs w:val="24"/>
        </w:rPr>
        <w:t>(</w:t>
      </w:r>
      <w:r w:rsidR="00047CA2" w:rsidRPr="009216D7">
        <w:rPr>
          <w:rFonts w:ascii="Times New Roman" w:hAnsi="Times New Roman" w:cs="Times New Roman"/>
          <w:noProof/>
          <w:sz w:val="24"/>
          <w:szCs w:val="24"/>
        </w:rPr>
        <w:t>2016)</w:t>
      </w:r>
      <w:r w:rsidR="00047CA2">
        <w:rPr>
          <w:rFonts w:ascii="Times New Roman" w:hAnsi="Times New Roman" w:cs="Times New Roman"/>
          <w:sz w:val="24"/>
          <w:szCs w:val="24"/>
        </w:rPr>
        <w:fldChar w:fldCharType="end"/>
      </w:r>
      <w:r w:rsidR="00047CA2">
        <w:rPr>
          <w:rFonts w:ascii="Times New Roman" w:hAnsi="Times New Roman" w:cs="Times New Roman"/>
          <w:sz w:val="24"/>
          <w:szCs w:val="24"/>
        </w:rPr>
        <w:t>, poor breastfeeding practices could be a contributor to stunting.</w:t>
      </w:r>
    </w:p>
    <w:p w:rsidR="00321F29" w:rsidRDefault="00321F29" w:rsidP="000D229D">
      <w:pPr>
        <w:spacing w:after="0" w:line="360" w:lineRule="auto"/>
        <w:jc w:val="both"/>
        <w:rPr>
          <w:rFonts w:ascii="Times New Roman" w:hAnsi="Times New Roman" w:cs="Times New Roman"/>
          <w:sz w:val="24"/>
          <w:szCs w:val="24"/>
        </w:rPr>
      </w:pPr>
    </w:p>
    <w:p w:rsidR="00047CA2" w:rsidRDefault="00047CA2" w:rsidP="000D22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early cessation of breastfeeding, about two thirds of the children </w:t>
      </w:r>
      <w:r w:rsidR="00B8209F">
        <w:rPr>
          <w:rFonts w:ascii="Times New Roman" w:hAnsi="Times New Roman" w:cs="Times New Roman"/>
          <w:sz w:val="24"/>
          <w:szCs w:val="24"/>
        </w:rPr>
        <w:t>6-23</w:t>
      </w:r>
      <w:r>
        <w:rPr>
          <w:rFonts w:ascii="Times New Roman" w:hAnsi="Times New Roman" w:cs="Times New Roman"/>
          <w:sz w:val="24"/>
          <w:szCs w:val="24"/>
        </w:rPr>
        <w:t xml:space="preserve"> months did not receive minimum acceptable diet </w:t>
      </w:r>
      <w:r w:rsidR="00321F29">
        <w:rPr>
          <w:rFonts w:ascii="Times New Roman" w:hAnsi="Times New Roman" w:cs="Times New Roman"/>
          <w:sz w:val="24"/>
          <w:szCs w:val="24"/>
        </w:rPr>
        <w:t>with more rural children having higher dietary diversity scores than urban children. This may</w:t>
      </w:r>
      <w:r w:rsidR="00321F29" w:rsidRPr="00B55EB4">
        <w:rPr>
          <w:rFonts w:ascii="Times New Roman" w:hAnsi="Times New Roman" w:cs="Times New Roman"/>
          <w:sz w:val="24"/>
          <w:szCs w:val="24"/>
        </w:rPr>
        <w:t xml:space="preserve"> be attributed to rural families </w:t>
      </w:r>
      <w:r w:rsidR="00321F29">
        <w:rPr>
          <w:rFonts w:ascii="Times New Roman" w:hAnsi="Times New Roman" w:cs="Times New Roman"/>
          <w:sz w:val="24"/>
          <w:szCs w:val="24"/>
        </w:rPr>
        <w:t xml:space="preserve">easily </w:t>
      </w:r>
      <w:r w:rsidR="00321F29" w:rsidRPr="00B55EB4">
        <w:rPr>
          <w:rFonts w:ascii="Times New Roman" w:hAnsi="Times New Roman" w:cs="Times New Roman"/>
          <w:sz w:val="24"/>
          <w:szCs w:val="24"/>
        </w:rPr>
        <w:t xml:space="preserve">accessing </w:t>
      </w:r>
      <w:r w:rsidR="00321F29">
        <w:rPr>
          <w:rFonts w:ascii="Times New Roman" w:hAnsi="Times New Roman" w:cs="Times New Roman"/>
          <w:sz w:val="24"/>
          <w:szCs w:val="24"/>
        </w:rPr>
        <w:t xml:space="preserve">some </w:t>
      </w:r>
      <w:r w:rsidR="00321F29" w:rsidRPr="00B55EB4">
        <w:rPr>
          <w:rFonts w:ascii="Times New Roman" w:hAnsi="Times New Roman" w:cs="Times New Roman"/>
          <w:sz w:val="24"/>
          <w:szCs w:val="24"/>
        </w:rPr>
        <w:t>food</w:t>
      </w:r>
      <w:r w:rsidR="00321F29">
        <w:rPr>
          <w:rFonts w:ascii="Times New Roman" w:hAnsi="Times New Roman" w:cs="Times New Roman"/>
          <w:sz w:val="24"/>
          <w:szCs w:val="24"/>
        </w:rPr>
        <w:t>s</w:t>
      </w:r>
      <w:r w:rsidR="00321F29" w:rsidRPr="00B55EB4">
        <w:rPr>
          <w:rFonts w:ascii="Times New Roman" w:hAnsi="Times New Roman" w:cs="Times New Roman"/>
          <w:sz w:val="24"/>
          <w:szCs w:val="24"/>
        </w:rPr>
        <w:t xml:space="preserve"> from their farms</w:t>
      </w:r>
      <w:r w:rsidR="00321F29">
        <w:rPr>
          <w:rFonts w:ascii="Times New Roman" w:hAnsi="Times New Roman" w:cs="Times New Roman"/>
          <w:sz w:val="24"/>
          <w:szCs w:val="24"/>
        </w:rPr>
        <w:t xml:space="preserve"> and neighborhoods</w:t>
      </w:r>
      <w:r w:rsidR="00321F29" w:rsidRPr="00B55EB4">
        <w:rPr>
          <w:rFonts w:ascii="Times New Roman" w:hAnsi="Times New Roman" w:cs="Times New Roman"/>
          <w:sz w:val="24"/>
          <w:szCs w:val="24"/>
        </w:rPr>
        <w:t xml:space="preserve"> </w:t>
      </w:r>
      <w:r w:rsidR="00321F29">
        <w:rPr>
          <w:rFonts w:ascii="Times New Roman" w:hAnsi="Times New Roman" w:cs="Times New Roman"/>
          <w:sz w:val="24"/>
          <w:szCs w:val="24"/>
        </w:rPr>
        <w:t xml:space="preserve">at a cheaper price </w:t>
      </w:r>
      <w:r w:rsidR="00321F29" w:rsidRPr="00B55EB4">
        <w:rPr>
          <w:rFonts w:ascii="Times New Roman" w:hAnsi="Times New Roman" w:cs="Times New Roman"/>
          <w:sz w:val="24"/>
          <w:szCs w:val="24"/>
        </w:rPr>
        <w:t xml:space="preserve">as compared to urban areas that </w:t>
      </w:r>
      <w:r w:rsidR="00321F29">
        <w:rPr>
          <w:rFonts w:ascii="Times New Roman" w:hAnsi="Times New Roman" w:cs="Times New Roman"/>
          <w:sz w:val="24"/>
          <w:szCs w:val="24"/>
        </w:rPr>
        <w:t>mainly</w:t>
      </w:r>
      <w:r w:rsidR="00321F29" w:rsidRPr="00B55EB4">
        <w:rPr>
          <w:rFonts w:ascii="Times New Roman" w:hAnsi="Times New Roman" w:cs="Times New Roman"/>
          <w:sz w:val="24"/>
          <w:szCs w:val="24"/>
        </w:rPr>
        <w:t xml:space="preserve"> rely on purchasing foods.</w:t>
      </w:r>
      <w:r w:rsidR="00321F29">
        <w:rPr>
          <w:rFonts w:ascii="Times New Roman" w:hAnsi="Times New Roman" w:cs="Times New Roman"/>
          <w:sz w:val="24"/>
          <w:szCs w:val="24"/>
        </w:rPr>
        <w:t xml:space="preserve"> S</w:t>
      </w:r>
      <w:r>
        <w:rPr>
          <w:rFonts w:ascii="Times New Roman" w:hAnsi="Times New Roman" w:cs="Times New Roman"/>
          <w:sz w:val="24"/>
          <w:szCs w:val="24"/>
        </w:rPr>
        <w:t>tudies have shown that lack of enough nutrient supply between ages  6-11 months leads to repeated wasting occurrences, th</w:t>
      </w:r>
      <w:r w:rsidR="00321F29">
        <w:rPr>
          <w:rFonts w:ascii="Times New Roman" w:hAnsi="Times New Roman" w:cs="Times New Roman"/>
          <w:sz w:val="24"/>
          <w:szCs w:val="24"/>
        </w:rPr>
        <w:t>at later result to stunting</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DB7DB4">
        <w:rPr>
          <w:rFonts w:ascii="Times New Roman" w:hAnsi="Times New Roman" w:cs="Times New Roman"/>
          <w:sz w:val="24"/>
          <w:szCs w:val="24"/>
        </w:rPr>
        <w:instrText>ADDIN CSL_CITATION {"citationItems":[{"id":"ITEM-1","itemData":{"DOI":"10.1177/15648265150361S103","ISBN":"0379-5721 (Print)\\r0379-5721 (Linking)","ISSN":"03795721","PMID":"25902610","abstract":"Wasting and stunting are often presented as two separate forms of malnutrition requiring different interventions for prevention and/or treatment. These two forms of malnutrition, however, are closely related and often occur together in the same populations and often in the same children. Wasting and stunting are both associated with increased mortality, especially when both are present in the same child. A better understanding of the pathophysiology of these two different forms of malnutrition is needed to design efficient programs. A greatly reduced muscle mass is characteristic of severe wasting, but there is indirect evidence that it also occurs in stunting. A reduced muscle mass increases the risk of death during infections and also in many other different pathological situations. Reduced muscle mass may represent a common mechanism linking wasting and stunting with increased mortality. This suggests that to decrease malnutrition-related mortality, interventions should aim at preventing both wasting and stunting, which often share common causes. Also, this suggests that treatment interventions should focus on children who are both wasted and stunted and therefore have the greatest deficits in muscle mass, instead of focusing on one or the other form of malnutrition. Interventions should also focus on young infants and children, who have a low muscle mass in relation to body weight to start with. Using mid-upper-arm circumference (MUAC) to select children in need of treatment may represent a simple way to target young wasted and stunted children efficiently in situations where these two conditions are present. Wasting is also associated with decreased fat mass. A decreased fat mass is frequent but inconsistent in stunting. Fat secretes multiple hormones, including leptin, which may have a stimulating effect on the immune system. Depressed immunity resulting from low fat stores may also contribute to the increased mortality observed in wasting. This may represent another common mechanism linking wasting and stunting with increased mortality in situations where stunting is associated with reduced fat mass. Leptin may also have an effect on bone growth. This may explain why wasted children with low fat stores have reduced linear growth when their weight-for-height remains low. It may also explain the frequent association of stunting with previous episodes of wasting. Stunting, however, can occur in the absence of wasting and even in overweight children.…","author":[{"dropping-particle":"","family":"Briend","given":"Andr??","non-dropping-particle":"","parse-names":false,"suffix":""},{"dropping-particle":"","family":"Khara","given":"Tanya","non-dropping-particle":"","parse-names":false,"suffix":""},{"dropping-particle":"","family":"Dolan","given":"Carmel","non-dropping-particle":"","parse-names":false,"suffix":""}],"container-title":"Food and Nutrition Bulletin","id":"ITEM-1","issue":"1","issued":{"date-parts":[["2015"]]},"page":"S15-S23","title":"Wasting and stunting-similarities and differences: Policy and programmatic implications","type":"article-journal","volume":"36"},"uris":["http://www.mendeley.com/documents/?uuid=cf0fb3eb-58d6-489a-9355-787d8329b150"]}],"mendeley":{"formattedCitation":"(Briend et al., 2015)","plainTextFormattedCitation":"(Briend et al., 2015)","previouslyFormattedCitation":"(Briend, Khara, &amp; Dolan, 2015)"},"properties":{"noteIndex":0},"schema":"https://github.com/citation-style-language/schema/raw/master/csl-citation.json"}</w:instrText>
      </w:r>
      <w:r>
        <w:rPr>
          <w:rFonts w:ascii="Times New Roman" w:hAnsi="Times New Roman" w:cs="Times New Roman"/>
          <w:sz w:val="24"/>
          <w:szCs w:val="24"/>
        </w:rPr>
        <w:fldChar w:fldCharType="separate"/>
      </w:r>
      <w:r w:rsidR="00DB7DB4" w:rsidRPr="00DB7DB4">
        <w:rPr>
          <w:rFonts w:ascii="Times New Roman" w:hAnsi="Times New Roman" w:cs="Times New Roman"/>
          <w:noProof/>
          <w:sz w:val="24"/>
          <w:szCs w:val="24"/>
        </w:rPr>
        <w:t>(Briend et al., 2015)</w:t>
      </w:r>
      <w:r>
        <w:rPr>
          <w:rFonts w:ascii="Times New Roman" w:hAnsi="Times New Roman" w:cs="Times New Roman"/>
          <w:sz w:val="24"/>
          <w:szCs w:val="24"/>
        </w:rPr>
        <w:fldChar w:fldCharType="end"/>
      </w:r>
      <w:r>
        <w:rPr>
          <w:rFonts w:ascii="Times New Roman" w:hAnsi="Times New Roman" w:cs="Times New Roman"/>
          <w:sz w:val="24"/>
          <w:szCs w:val="24"/>
        </w:rPr>
        <w:t xml:space="preserve">. This is further explained by </w:t>
      </w:r>
      <w:r w:rsidRPr="00B55EB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{"citationItems":[{"id":"ITEM-1","itemData":{"DOI":"10.1371/journal.pone.0133542","ISBN":"1932-6203","ISSN":"19326203","PMID":"26285047","abstract":"BACKGROUND Food insecurity has detrimental effects in protecting child undernutrition.This study sought to determine the level of child undernutrition and its association with food insecurity. METHODS A community based comparative cross-sectional study design involving multistage sampling technique was implemented from 24th of May to 20th of July 2013. Using two population proportion formula, a total of 4110 randomly selected households were included in the study. Availability of the productive safety net programme was used for grouping the study areas. A multiple linear regression model was used to assess the association between food insecurity and child malnutrition. Clustering effects of localities were controlled during analysis. RESULTS Stunting (37.5%), underweight (22.0%) and wasting (17.1%) were observed in East Gojjam zone, while 38.3% stunting, 22.5% underweight, and 18.6% wasting for the West Gojjam zone. Food insecurity was significantly associated with wasting (β = - 0.108, P &lt; 0.05).Food diversity and number of meals the child ate per day significantly associated with stunting (β = 0.039, P &lt; 0.01) and underweight (β = 0.035, P &lt; 0.05) respectively. Residential area was the significant predictor of all indices. CONCLUSION The magnitude of child undernutrition was found to be very high in the study areas. Food insecurity was the significant determinant of wasting. Food diversity and number of meals the child ate per day were the significant determinants of stunting and underweight respectively. Child nutrition intervention strategies should take into account food security, dietary diversity, and carefully specified with regard to residential locations. Addressing food insecurity is of paramount importance.","author":[{"dropping-particle":"","family":"Motbainor","given":"Achenef","non-dropping-particle":"","parse-names":false,"suffix":""},{"dropping-particle":"","family":"Worku","given":"Alemayehu","non-dropping-particle":"","parse-names":false,"suffix":""},{"dropping-particle":"","family":"Kumie","given":"Abera","non-dropping-particle":"","parse-names":false,"suffix":""}],"container-title":"PLoS ONE","id":"ITEM-1","issue":"8","issued":{"date-parts":[["2015"]]},"page":"1-14","title":"Stunting is associated with food diversity while wasting with food insecurity among underfive children in East and West Gojjam Zones of Amhara Region, Ethiopia","type":"article-journal","volume":"10"},"uris":["http://www.mendeley.com/documents/?uuid=bd79a14c-472c-4032-ad25-b13cd0dc7d90"]}],"mendeley":{"formattedCitation":"(Motbainor, Worku, &amp; Kumie, 2015)","manualFormatting":"Motbainor et al., (2015)","plainTextFormattedCitation":"(Motbainor, Worku, &amp; Kumie, 2015)","previouslyFormattedCitation":"(Motbainor, Worku, &amp; Kumie, 2015)"},"properties":{"noteIndex":0},"schema":"https://github.com/citation-style-language/schema/raw/master/csl-citation.json"}</w:instrText>
      </w:r>
      <w:r w:rsidRPr="00B55EB4">
        <w:rPr>
          <w:rFonts w:ascii="Times New Roman" w:hAnsi="Times New Roman" w:cs="Times New Roman"/>
          <w:sz w:val="24"/>
          <w:szCs w:val="24"/>
        </w:rPr>
        <w:fldChar w:fldCharType="separate"/>
      </w:r>
      <w:r w:rsidRPr="00B55EB4">
        <w:rPr>
          <w:rFonts w:ascii="Times New Roman" w:hAnsi="Times New Roman" w:cs="Times New Roman"/>
          <w:noProof/>
          <w:sz w:val="24"/>
          <w:szCs w:val="24"/>
        </w:rPr>
        <w:t xml:space="preserve">Motbainor et al., </w:t>
      </w:r>
      <w:r>
        <w:rPr>
          <w:rFonts w:ascii="Times New Roman" w:hAnsi="Times New Roman" w:cs="Times New Roman"/>
          <w:noProof/>
          <w:sz w:val="24"/>
          <w:szCs w:val="24"/>
        </w:rPr>
        <w:t>(</w:t>
      </w:r>
      <w:r w:rsidRPr="00B55EB4">
        <w:rPr>
          <w:rFonts w:ascii="Times New Roman" w:hAnsi="Times New Roman" w:cs="Times New Roman"/>
          <w:noProof/>
          <w:sz w:val="24"/>
          <w:szCs w:val="24"/>
        </w:rPr>
        <w:t>2015)</w:t>
      </w:r>
      <w:r w:rsidRPr="00B55EB4">
        <w:rPr>
          <w:rFonts w:ascii="Times New Roman" w:hAnsi="Times New Roman" w:cs="Times New Roman"/>
          <w:sz w:val="24"/>
          <w:szCs w:val="24"/>
        </w:rPr>
        <w:fldChar w:fldCharType="end"/>
      </w:r>
      <w:r w:rsidRPr="00B55EB4">
        <w:rPr>
          <w:rFonts w:ascii="Times New Roman" w:hAnsi="Times New Roman" w:cs="Times New Roman"/>
          <w:sz w:val="24"/>
          <w:szCs w:val="24"/>
        </w:rPr>
        <w:t xml:space="preserve"> </w:t>
      </w:r>
      <w:r>
        <w:rPr>
          <w:rFonts w:ascii="Times New Roman" w:hAnsi="Times New Roman" w:cs="Times New Roman"/>
          <w:sz w:val="24"/>
          <w:szCs w:val="24"/>
        </w:rPr>
        <w:t xml:space="preserve">who </w:t>
      </w:r>
      <w:r w:rsidRPr="00B55EB4">
        <w:rPr>
          <w:rFonts w:ascii="Times New Roman" w:hAnsi="Times New Roman" w:cs="Times New Roman"/>
          <w:sz w:val="24"/>
          <w:szCs w:val="24"/>
        </w:rPr>
        <w:t xml:space="preserve">found out that children </w:t>
      </w:r>
      <w:r>
        <w:rPr>
          <w:rFonts w:ascii="Times New Roman" w:hAnsi="Times New Roman" w:cs="Times New Roman"/>
          <w:sz w:val="24"/>
          <w:szCs w:val="24"/>
        </w:rPr>
        <w:t xml:space="preserve">above six months </w:t>
      </w:r>
      <w:r w:rsidRPr="00B55EB4">
        <w:rPr>
          <w:rFonts w:ascii="Times New Roman" w:hAnsi="Times New Roman" w:cs="Times New Roman"/>
          <w:sz w:val="24"/>
          <w:szCs w:val="24"/>
        </w:rPr>
        <w:t xml:space="preserve">who </w:t>
      </w:r>
      <w:r>
        <w:rPr>
          <w:rFonts w:ascii="Times New Roman" w:hAnsi="Times New Roman" w:cs="Times New Roman"/>
          <w:sz w:val="24"/>
          <w:szCs w:val="24"/>
        </w:rPr>
        <w:t xml:space="preserve">were exclusively breastfed became stunted if they consumed a less </w:t>
      </w:r>
      <w:r w:rsidRPr="00B55EB4">
        <w:rPr>
          <w:rFonts w:ascii="Times New Roman" w:hAnsi="Times New Roman" w:cs="Times New Roman"/>
          <w:sz w:val="24"/>
          <w:szCs w:val="24"/>
        </w:rPr>
        <w:t xml:space="preserve"> </w:t>
      </w:r>
      <w:r>
        <w:rPr>
          <w:rFonts w:ascii="Times New Roman" w:hAnsi="Times New Roman" w:cs="Times New Roman"/>
          <w:sz w:val="24"/>
          <w:szCs w:val="24"/>
        </w:rPr>
        <w:t>diverse diet</w:t>
      </w:r>
      <w:r w:rsidRPr="00B55EB4">
        <w:rPr>
          <w:rFonts w:ascii="Times New Roman" w:hAnsi="Times New Roman" w:cs="Times New Roman"/>
          <w:sz w:val="24"/>
          <w:szCs w:val="24"/>
        </w:rPr>
        <w:t>.</w:t>
      </w:r>
      <w:r>
        <w:rPr>
          <w:rFonts w:ascii="Times New Roman" w:hAnsi="Times New Roman" w:cs="Times New Roman"/>
          <w:sz w:val="24"/>
          <w:szCs w:val="24"/>
        </w:rPr>
        <w:t xml:space="preserve"> A dietary diversity score that was used in this study that recall food groups taken with 24 hours has been found to be a good measure of nutrient adequacy and affect a child height and weight,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{"citationItems":[{"id":"ITEM-1","itemData":{"DOI":"10.1079/PHN2005912","author":[{"dropping-particle":"","family":"Steyn","given":"N P","non-dropping-particle":"","parse-names":false,"suffix":""},{"dropping-particle":"","family":"Nel","given":"J H","non-dropping-particle":"","parse-names":false,"suffix":""},{"dropping-particle":"","family":"Nantel","given":"G","non-dropping-particle":"","parse-names":false,"suffix":""},{"dropping-particle":"","family":"Kennedy","given":"G","non-dropping-particle":"","parse-names":false,"suffix":""},{"dropping-particle":"","family":"Labadarios","given":"D","non-dropping-particle":"","parse-names":false,"suffix":""}],"id":"ITEM-1","issue":"May","issued":{"date-parts":[["2017"]]},"page":"644-650","title":"Food variety and dietary diversity scores in children : are they good indicators of dietary adequacy ?","type":"article-journal","volume":"9"},"uris":["http://www.mendeley.com/documents/?uuid=859d7087-257a-4501-b35e-e1d34d252711"]}],"mendeley":{"formattedCitation":"(Steyn, Nel, Nantel, Kennedy, &amp; Labadarios, 2017)","plainTextFormattedCitation":"(Steyn, Nel, Nantel, Kennedy, &amp; Labadarios, 2017)","previouslyFormattedCitation":"(Steyn, Nel, Nantel, Kennedy, &amp; Labadarios, 2017)"},"properties":{"noteIndex":0},"schema":"https://github.com/citation-style-language/schema/raw/master/csl-citation.json"}</w:instrText>
      </w:r>
      <w:r>
        <w:rPr>
          <w:rFonts w:ascii="Times New Roman" w:hAnsi="Times New Roman" w:cs="Times New Roman"/>
          <w:sz w:val="24"/>
          <w:szCs w:val="24"/>
        </w:rPr>
        <w:fldChar w:fldCharType="separate"/>
      </w:r>
      <w:r w:rsidRPr="00775673">
        <w:rPr>
          <w:rFonts w:ascii="Times New Roman" w:hAnsi="Times New Roman" w:cs="Times New Roman"/>
          <w:noProof/>
          <w:sz w:val="24"/>
          <w:szCs w:val="24"/>
        </w:rPr>
        <w:t>(Steyn, Nel, Nantel, Kennedy, &amp; Labadarios, 2017)</w:t>
      </w:r>
      <w:r>
        <w:rPr>
          <w:rFonts w:ascii="Times New Roman" w:hAnsi="Times New Roman" w:cs="Times New Roman"/>
          <w:sz w:val="24"/>
          <w:szCs w:val="24"/>
        </w:rPr>
        <w:fldChar w:fldCharType="end"/>
      </w:r>
      <w:r>
        <w:rPr>
          <w:rFonts w:ascii="Times New Roman" w:hAnsi="Times New Roman" w:cs="Times New Roman"/>
          <w:sz w:val="24"/>
          <w:szCs w:val="24"/>
        </w:rPr>
        <w:t xml:space="preserve">. Yet the study found most of children had dietary diversity score of less than four food groups. This  therefore, shows inadequate nutrient supply in the study group resulting to stunting </w:t>
      </w:r>
      <w:r w:rsidR="00150D32">
        <w:rPr>
          <w:rFonts w:ascii="Times New Roman" w:hAnsi="Times New Roman" w:cs="Times New Roman"/>
          <w:sz w:val="24"/>
          <w:szCs w:val="24"/>
        </w:rPr>
        <w:t xml:space="preserve">and </w:t>
      </w:r>
      <w:r>
        <w:rPr>
          <w:rFonts w:ascii="Times New Roman" w:hAnsi="Times New Roman" w:cs="Times New Roman"/>
          <w:sz w:val="24"/>
          <w:szCs w:val="24"/>
        </w:rPr>
        <w:t xml:space="preserve">has been linked more to food diversity than food security as the later was seen to contribute more to wasting in children,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{"citationItems":[{"id":"ITEM-1","itemData":{"DOI":"10.1371/journal.pone.0133542","ISBN":"1932-6203","ISSN":"19326203","PMID":"26285047","abstract":"BACKGROUND Food insecurity has detrimental effects in protecting child undernutrition.This study sought to determine the level of child undernutrition and its association with food insecurity. METHODS A community based comparative cross-sectional study design involving multistage sampling technique was implemented from 24th of May to 20th of July 2013. Using two population proportion formula, a total of 4110 randomly selected households were included in the study. Availability of the productive safety net programme was used for grouping the study areas. A multiple linear regression model was used to assess the association between food insecurity and child malnutrition. Clustering effects of localities were controlled during analysis. RESULTS Stunting (37.5%), underweight (22.0%) and wasting (17.1%) were observed in East Gojjam zone, while 38.3% stunting, 22.5% underweight, and 18.6% wasting for the West Gojjam zone. Food insecurity was significantly associated with wasting (β = - 0.108, P &lt; 0.05).Food diversity and number of meals the child ate per day significantly associated with stunting (β = 0.039, P &lt; 0.01) and underweight (β = 0.035, P &lt; 0.05) respectively. Residential area was the significant predictor of all indices. CONCLUSION The magnitude of child undernutrition was found to be very high in the study areas. Food insecurity was the significant determinant of wasting. Food diversity and number of meals the child ate per day were the significant determinants of stunting and underweight respectively. Child nutrition intervention strategies should take into account food security, dietary diversity, and carefully specified with regard to residential locations. Addressing food insecurity is of paramount importance.","author":[{"dropping-particle":"","family":"Motbainor","given":"Achenef","non-dropping-particle":"","parse-names":false,"suffix":""},{"dropping-particle":"","family":"Worku","given":"Alemayehu","non-dropping-particle":"","parse-names":false,"suffix":""},{"dropping-particle":"","family":"Kumie","given":"Abera","non-dropping-particle":"","parse-names":false,"suffix":""}],"container-title":"PLoS ONE","id":"ITEM-1","issue":"8","issued":{"date-parts":[["2015"]]},"page":"1-14","title":"Stunting is associated with food diversity while wasting with food insecurity among underfive children in East and West Gojjam Zones of Amhara Region, Ethiopia","type":"article-journal","volume":"10"},"uris":["http://www.mendeley.com/documents/?uuid=bd79a14c-472c-4032-ad25-b13cd0dc7d90"]}],"mendeley":{"formattedCitation":"(Motbainor et al., 2015)","plainTextFormattedCitation":"(Motbainor et al., 2015)","previouslyFormattedCitation":"(Motbainor et al., 2015)"},"properties":{"noteIndex":0},"schema":"https://github.com/citation-style-language/schema/raw/master/csl-citation.json"}</w:instrText>
      </w:r>
      <w:r>
        <w:rPr>
          <w:rFonts w:ascii="Times New Roman" w:hAnsi="Times New Roman" w:cs="Times New Roman"/>
          <w:sz w:val="24"/>
          <w:szCs w:val="24"/>
        </w:rPr>
        <w:fldChar w:fldCharType="separate"/>
      </w:r>
      <w:r w:rsidRPr="00D57D9B">
        <w:rPr>
          <w:rFonts w:ascii="Times New Roman" w:hAnsi="Times New Roman" w:cs="Times New Roman"/>
          <w:noProof/>
          <w:sz w:val="24"/>
          <w:szCs w:val="24"/>
        </w:rPr>
        <w:t>(Motbainor et al.,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47CA2" w:rsidRDefault="00047CA2" w:rsidP="000D229D">
      <w:pPr>
        <w:spacing w:after="0" w:line="360" w:lineRule="auto"/>
        <w:jc w:val="both"/>
        <w:rPr>
          <w:rFonts w:ascii="Times New Roman" w:hAnsi="Times New Roman" w:cs="Times New Roman"/>
          <w:sz w:val="24"/>
          <w:szCs w:val="24"/>
        </w:rPr>
      </w:pPr>
    </w:p>
    <w:p w:rsidR="00047CA2" w:rsidRDefault="00047CA2" w:rsidP="000D22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Intake of certain </w:t>
      </w:r>
      <w:r w:rsidRPr="002C30B7">
        <w:rPr>
          <w:rFonts w:ascii="Times New Roman" w:hAnsi="Times New Roman" w:cs="Times New Roman"/>
          <w:sz w:val="24"/>
          <w:szCs w:val="24"/>
        </w:rPr>
        <w:t xml:space="preserve">foods </w:t>
      </w:r>
      <w:r w:rsidR="00CA7ECF">
        <w:rPr>
          <w:rFonts w:ascii="Times New Roman" w:hAnsi="Times New Roman" w:cs="Times New Roman"/>
          <w:sz w:val="24"/>
          <w:szCs w:val="24"/>
        </w:rPr>
        <w:t>has</w:t>
      </w:r>
      <w:r>
        <w:rPr>
          <w:rFonts w:ascii="Times New Roman" w:hAnsi="Times New Roman" w:cs="Times New Roman"/>
          <w:sz w:val="24"/>
          <w:szCs w:val="24"/>
        </w:rPr>
        <w:t xml:space="preserve"> been </w:t>
      </w:r>
      <w:r w:rsidRPr="002C30B7">
        <w:rPr>
          <w:rFonts w:ascii="Times New Roman" w:hAnsi="Times New Roman" w:cs="Times New Roman"/>
          <w:sz w:val="24"/>
          <w:szCs w:val="24"/>
        </w:rPr>
        <w:t>linked to higher increase in children</w:t>
      </w:r>
      <w:r>
        <w:rPr>
          <w:rFonts w:ascii="Times New Roman" w:hAnsi="Times New Roman" w:cs="Times New Roman"/>
          <w:sz w:val="24"/>
          <w:szCs w:val="24"/>
        </w:rPr>
        <w:t>’s</w:t>
      </w:r>
      <w:r w:rsidRPr="002C30B7">
        <w:rPr>
          <w:rFonts w:ascii="Times New Roman" w:hAnsi="Times New Roman" w:cs="Times New Roman"/>
          <w:sz w:val="24"/>
          <w:szCs w:val="24"/>
        </w:rPr>
        <w:t xml:space="preserve"> height</w:t>
      </w:r>
      <w:r>
        <w:rPr>
          <w:rFonts w:ascii="Times New Roman" w:hAnsi="Times New Roman" w:cs="Times New Roman"/>
          <w:sz w:val="24"/>
          <w:szCs w:val="24"/>
        </w:rPr>
        <w:t xml:space="preserve"> which includes eggs, fish, chicken liver and milk. This is because these </w:t>
      </w:r>
      <w:r w:rsidRPr="002C30B7">
        <w:rPr>
          <w:rFonts w:ascii="Times New Roman" w:hAnsi="Times New Roman" w:cs="Times New Roman"/>
          <w:sz w:val="24"/>
          <w:szCs w:val="24"/>
        </w:rPr>
        <w:t xml:space="preserve">foods </w:t>
      </w:r>
      <w:r>
        <w:rPr>
          <w:rFonts w:ascii="Times New Roman" w:hAnsi="Times New Roman" w:cs="Times New Roman"/>
          <w:sz w:val="24"/>
          <w:szCs w:val="24"/>
        </w:rPr>
        <w:t>supply</w:t>
      </w:r>
      <w:r w:rsidRPr="002C30B7">
        <w:rPr>
          <w:rFonts w:ascii="Times New Roman" w:hAnsi="Times New Roman" w:cs="Times New Roman"/>
          <w:sz w:val="24"/>
          <w:szCs w:val="24"/>
        </w:rPr>
        <w:t xml:space="preserve"> essentia</w:t>
      </w:r>
      <w:r>
        <w:rPr>
          <w:rFonts w:ascii="Times New Roman" w:hAnsi="Times New Roman" w:cs="Times New Roman"/>
          <w:sz w:val="24"/>
          <w:szCs w:val="24"/>
        </w:rPr>
        <w:t xml:space="preserve">l amino acids, provide </w:t>
      </w:r>
      <w:r w:rsidRPr="002C30B7">
        <w:rPr>
          <w:rFonts w:ascii="Times New Roman" w:hAnsi="Times New Roman" w:cs="Times New Roman"/>
          <w:sz w:val="24"/>
          <w:szCs w:val="24"/>
        </w:rPr>
        <w:t>iron, calcium and zinc</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667690">
        <w:rPr>
          <w:rFonts w:ascii="Times New Roman" w:hAnsi="Times New Roman" w:cs="Times New Roman"/>
          <w:sz w:val="24"/>
          <w:szCs w:val="24"/>
        </w:rPr>
        <w:instrText>ADDIN CSL_CITATION {"citationItems":[{"id":"ITEM-1","itemData":{"author":[{"dropping-particle":"","family":"Dewey","given":"Kathryn G","non-dropping-particle":"","parse-names":false,"suffix":""},{"dropping-particle":"","family":"Adu-afarwuah","given":"Seth","non-dropping-particle":"","parse-names":false,"suffix":""}],"id":"ITEM-1","issued":{"date-parts":[["2008"]]},"page":"24-85","title":"Review Article Systematic review of the efficacy and effectiveness of complementary feeding interventions in developing countries","type":"article-journal"},"uris":["http://www.mendeley.com/documents/?uuid=6c00aa2c-992c-4da2-b8df-8e9f785d962f"]}],"mendeley":{"formattedCitation":"(Dewey &amp; Adu-afarwuah, 2008)","plainTextFormattedCitation":"(Dewey &amp; Adu-afarwuah, 2008)","previouslyFormattedCitation":"(Dewey &amp; Adu-afarwuah, 2008)"},"properties":{"noteIndex":0},"schema":"https://github.com/citation-style-language/schema/raw/master/csl-citation.json"}</w:instrText>
      </w:r>
      <w:r>
        <w:rPr>
          <w:rFonts w:ascii="Times New Roman" w:hAnsi="Times New Roman" w:cs="Times New Roman"/>
          <w:sz w:val="24"/>
          <w:szCs w:val="24"/>
        </w:rPr>
        <w:fldChar w:fldCharType="separate"/>
      </w:r>
      <w:r w:rsidRPr="002865DD">
        <w:rPr>
          <w:rFonts w:ascii="Times New Roman" w:hAnsi="Times New Roman" w:cs="Times New Roman"/>
          <w:noProof/>
          <w:sz w:val="24"/>
          <w:szCs w:val="24"/>
        </w:rPr>
        <w:t>(Dewey &amp; Adu-afarwuah, 2008)</w:t>
      </w:r>
      <w:r>
        <w:rPr>
          <w:rFonts w:ascii="Times New Roman" w:hAnsi="Times New Roman" w:cs="Times New Roman"/>
          <w:sz w:val="24"/>
          <w:szCs w:val="24"/>
        </w:rPr>
        <w:fldChar w:fldCharType="end"/>
      </w:r>
      <w:r>
        <w:rPr>
          <w:rFonts w:ascii="Times New Roman" w:hAnsi="Times New Roman" w:cs="Times New Roman"/>
          <w:sz w:val="24"/>
          <w:szCs w:val="24"/>
        </w:rPr>
        <w:t xml:space="preserve">. Zinc </w:t>
      </w:r>
      <w:r w:rsidRPr="002C30B7">
        <w:rPr>
          <w:rFonts w:ascii="Times New Roman" w:hAnsi="Times New Roman" w:cs="Times New Roman"/>
          <w:sz w:val="24"/>
          <w:szCs w:val="24"/>
        </w:rPr>
        <w:t xml:space="preserve">has </w:t>
      </w:r>
      <w:r>
        <w:rPr>
          <w:rFonts w:ascii="Times New Roman" w:hAnsi="Times New Roman" w:cs="Times New Roman"/>
          <w:sz w:val="24"/>
          <w:szCs w:val="24"/>
        </w:rPr>
        <w:t xml:space="preserve">also </w:t>
      </w:r>
      <w:r w:rsidRPr="002C30B7">
        <w:rPr>
          <w:rFonts w:ascii="Times New Roman" w:hAnsi="Times New Roman" w:cs="Times New Roman"/>
          <w:sz w:val="24"/>
          <w:szCs w:val="24"/>
        </w:rPr>
        <w:t xml:space="preserve">been found to be an important growth component </w:t>
      </w:r>
      <w:r>
        <w:rPr>
          <w:rFonts w:ascii="Times New Roman" w:hAnsi="Times New Roman" w:cs="Times New Roman"/>
          <w:sz w:val="24"/>
          <w:szCs w:val="24"/>
        </w:rPr>
        <w:t xml:space="preserve">for height where children with low height had low plasma zinc concentrations and in addition micronutrients as calcium, magnesium, and iron,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{"citationItems":[{"id":"ITEM-1","itemData":{"DOI":"10.1177/0379572116689000","ISBN":"1564-8265","ISSN":"03795721","PMID":"28118744","abstract":"Background: Information is needed on the national prevalence of zinc deficiency to guide program development and evaluation.; Objective: To summarize results of national surveys that assessed plasma or serum zinc concentrations (PZC) and compare the prevalence of low PZC with other methods used to estimate countries' risk of zinc deficiency.; Methods: National surveys that included PZC were identified through Internet searches and personal contacts. A survey was eligible if a nationally representative sampling scheme was used, PZC was analyzed, and the survey was implemented in a low- or middle-income country. Twenty surveys were eligible; 19 countries assessed PZC in young children and 14 in women of reproductive age.; Results: In 13 of the 19 surveys, the prevalence of low PZC in children was &gt;20%. Only Afghanistan, Azerbaijan, Nigeria, the Republic of Maldives, Sri Lanka, and China found a low prevalence of inadequate PZC among children. Some of these conclusions may be due to the lower than recommended cutoff that was used. Similarly, in 13 of 14 surveys, the prevalence of low PZC in women was &gt;20%. Estimates of percentage population with inadequate dietary zinc intake based on food balance sheets underestimate the risk of zinc deficiency. The national stunting prevalence seems to be a useful proxy, as both indicators categorized countries similarly into high versus low risk of zinc deficiency, with some exceptions.; Conclusions: Results from 20 countries suggest that zinc deficiency is a public health concern in the majority of these countries and zinc intervention strategies should be considered.;","author":[{"dropping-particle":"","family":"Hess","given":"Sonja Y.","non-dropping-particle":"","parse-names":false,"suffix":""}],"container-title":"Food and Nutrition Bulletin","id":"ITEM-1","issue":"1","issued":{"date-parts":[["2017"]]},"page":"3-17","title":"National Risk of Zinc Deficiency as Estimated by National Surveys","type":"article-journal","volume":"38"},"uris":["http://www.mendeley.com/documents/?uuid=0e7ca079-671c-4497-b77b-408e8fc478c4"]}],"mendeley":{"formattedCitation":"(Hess, 2017)","plainTextFormattedCitation":"(Hess, 2017)","previouslyFormattedCitation":"(Hess, 2017)"},"properties":{"noteIndex":0},"schema":"https://github.com/citation-style-language/schema/raw/master/csl-citation.json"}</w:instrText>
      </w:r>
      <w:r>
        <w:rPr>
          <w:rFonts w:ascii="Times New Roman" w:hAnsi="Times New Roman" w:cs="Times New Roman"/>
          <w:sz w:val="24"/>
          <w:szCs w:val="24"/>
        </w:rPr>
        <w:fldChar w:fldCharType="separate"/>
      </w:r>
      <w:r w:rsidRPr="00982143">
        <w:rPr>
          <w:rFonts w:ascii="Times New Roman" w:hAnsi="Times New Roman" w:cs="Times New Roman"/>
          <w:noProof/>
          <w:sz w:val="24"/>
          <w:szCs w:val="24"/>
        </w:rPr>
        <w:t>(Hess,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C49BB">
        <w:rPr>
          <w:rFonts w:ascii="Times New Roman" w:hAnsi="Times New Roman" w:cs="Times New Roman"/>
          <w:sz w:val="24"/>
          <w:szCs w:val="24"/>
        </w:rPr>
        <w:t>Results from</w:t>
      </w:r>
      <w:r>
        <w:rPr>
          <w:rFonts w:ascii="Times New Roman" w:hAnsi="Times New Roman" w:cs="Times New Roman"/>
          <w:sz w:val="24"/>
          <w:szCs w:val="24"/>
        </w:rPr>
        <w:t xml:space="preserve"> this study indicated low i</w:t>
      </w:r>
      <w:r w:rsidRPr="002C30B7">
        <w:rPr>
          <w:rFonts w:ascii="Times New Roman" w:hAnsi="Times New Roman" w:cs="Times New Roman"/>
          <w:sz w:val="24"/>
          <w:szCs w:val="24"/>
        </w:rPr>
        <w:t xml:space="preserve">ntake of animal </w:t>
      </w:r>
      <w:r>
        <w:rPr>
          <w:rFonts w:ascii="Times New Roman" w:hAnsi="Times New Roman" w:cs="Times New Roman"/>
          <w:sz w:val="24"/>
          <w:szCs w:val="24"/>
        </w:rPr>
        <w:t>source foods with eggs being the least consumed food. But there was a significant difference on milk consumption between urban and rural children with rural children consuming more milk than urban</w:t>
      </w:r>
      <w:r w:rsidRPr="002C30B7">
        <w:rPr>
          <w:rFonts w:ascii="Times New Roman" w:hAnsi="Times New Roman" w:cs="Times New Roman"/>
          <w:sz w:val="24"/>
          <w:szCs w:val="24"/>
        </w:rPr>
        <w:t xml:space="preserve">. </w:t>
      </w:r>
      <w:r>
        <w:rPr>
          <w:rFonts w:ascii="Times New Roman" w:hAnsi="Times New Roman" w:cs="Times New Roman"/>
          <w:sz w:val="24"/>
          <w:szCs w:val="24"/>
        </w:rPr>
        <w:t xml:space="preserve">This could be due to the fact that most rural households produce milk as part of their economic activities and milk is more available at low cost in the rural area than urban. Therefore most children in this study did not </w:t>
      </w:r>
      <w:r>
        <w:rPr>
          <w:rFonts w:ascii="Times New Roman" w:hAnsi="Times New Roman" w:cs="Times New Roman"/>
          <w:sz w:val="24"/>
          <w:szCs w:val="24"/>
        </w:rPr>
        <w:lastRenderedPageBreak/>
        <w:t xml:space="preserve">receive enough food that supplies </w:t>
      </w:r>
      <w:r w:rsidRPr="002C30B7">
        <w:rPr>
          <w:rFonts w:ascii="Times New Roman" w:hAnsi="Times New Roman" w:cs="Times New Roman"/>
          <w:sz w:val="24"/>
          <w:szCs w:val="24"/>
        </w:rPr>
        <w:t xml:space="preserve">essential nutrients </w:t>
      </w:r>
      <w:r>
        <w:rPr>
          <w:rFonts w:ascii="Times New Roman" w:hAnsi="Times New Roman" w:cs="Times New Roman"/>
          <w:sz w:val="24"/>
          <w:szCs w:val="24"/>
        </w:rPr>
        <w:t xml:space="preserve">needed </w:t>
      </w:r>
      <w:r w:rsidRPr="002C30B7">
        <w:rPr>
          <w:rFonts w:ascii="Times New Roman" w:hAnsi="Times New Roman" w:cs="Times New Roman"/>
          <w:sz w:val="24"/>
          <w:szCs w:val="24"/>
        </w:rPr>
        <w:t xml:space="preserve">for </w:t>
      </w:r>
      <w:r>
        <w:rPr>
          <w:rFonts w:ascii="Times New Roman" w:hAnsi="Times New Roman" w:cs="Times New Roman"/>
          <w:sz w:val="24"/>
          <w:szCs w:val="24"/>
        </w:rPr>
        <w:t>linear growth and this could be one of the explanations for stunting.</w:t>
      </w:r>
    </w:p>
    <w:p w:rsidR="00047CA2" w:rsidRDefault="00047CA2" w:rsidP="000D229D">
      <w:pPr>
        <w:spacing w:after="0" w:line="360" w:lineRule="auto"/>
        <w:jc w:val="both"/>
        <w:rPr>
          <w:rFonts w:ascii="Times New Roman" w:hAnsi="Times New Roman" w:cs="Times New Roman"/>
          <w:sz w:val="24"/>
          <w:szCs w:val="24"/>
        </w:rPr>
      </w:pPr>
    </w:p>
    <w:p w:rsidR="00047CA2" w:rsidRDefault="00047CA2" w:rsidP="000D22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Vitamin A is an important nutrient in boasting immunity, improving sight and cell regeneration. From the study, about two thirds of the children from both urban and rural areas did not receive vitamin A rich foods such as yellow fleshed sweet potatoes, carrots, mangoes and pumpkins among others. Therefore they miss the potential benefit of vitamin A in the body of reducing morbidity and mortality, </w:t>
      </w:r>
      <w:r>
        <w:rPr>
          <w:rFonts w:ascii="Times New Roman" w:hAnsi="Times New Roman" w:cs="Times New Roman"/>
          <w:sz w:val="24"/>
          <w:szCs w:val="24"/>
        </w:rPr>
        <w:fldChar w:fldCharType="begin" w:fldLock="1"/>
      </w:r>
      <w:r w:rsidR="00667690">
        <w:rPr>
          <w:rFonts w:ascii="Times New Roman" w:hAnsi="Times New Roman" w:cs="Times New Roman"/>
          <w:sz w:val="24"/>
          <w:szCs w:val="24"/>
        </w:rPr>
        <w:instrText>ADDIN CSL_CITATION {"citationItems":[{"id":"ITEM-1","itemData":{"DOI":"10.1016/S2214-109X(15)00039-X","author":[{"dropping-particle":"","family":"Stevens","given":"Gretchen A","non-dropping-particle":"","parse-names":false,"suffix":""},{"dropping-particle":"","family":"Bennett","given":"James E","non-dropping-particle":"","parse-names":false,"suffix":""},{"dropping-particle":"","family":"Hennocq","given":"Quentin","non-dropping-particle":"","parse-names":false,"suffix":""},{"dropping-particle":"","family":"Lu","given":"Yuan","non-dropping-particle":"","parse-names":false,"suffix":""},{"dropping-particle":"","family":"De-regil","given":"Luz Maria","non-dropping-particle":"","parse-names":false,"suffix":""},{"dropping-particle":"","family":"Rogers","given":"Lisa","non-dropping-particle":"","parse-names":false,"suffix":""},{"dropping-particle":"","family":"Danaei","given":"Goodarz","non-dropping-particle":"","parse-names":false,"suffix":""},{"dropping-particle":"","family":"Li","given":"Guangquan","non-dropping-particle":"","parse-names":false,"suffix":""}],"id":"ITEM-1","issued":{"date-parts":[["2015"]]},"page":"528-536","title":"Trends and mortality eff ects of vitamin A defi ciency in children in 138 low-income and middle-income countries between 1991 and 2013 : a pooled analysis of population-based surveys","type":"article-journal"},"uris":["http://www.mendeley.com/documents/?uuid=d1cf8674-265b-4ac8-b5ad-4232ac4db401","http://www.mendeley.com/documents/?uuid=382a66fc-d933-43e3-9d15-488695917043"]}],"mendeley":{"formattedCitation":"(Stevens et al., 2015)","plainTextFormattedCitation":"(Stevens et al., 2015)","previouslyFormattedCitation":"(Stevens et al., 2015)"},"properties":{"noteIndex":0},"schema":"https://github.com/citation-style-language/schema/raw/master/csl-citation.json"}</w:instrText>
      </w:r>
      <w:r>
        <w:rPr>
          <w:rFonts w:ascii="Times New Roman" w:hAnsi="Times New Roman" w:cs="Times New Roman"/>
          <w:sz w:val="24"/>
          <w:szCs w:val="24"/>
        </w:rPr>
        <w:fldChar w:fldCharType="separate"/>
      </w:r>
      <w:r w:rsidRPr="00B9694A">
        <w:rPr>
          <w:rFonts w:ascii="Times New Roman" w:hAnsi="Times New Roman" w:cs="Times New Roman"/>
          <w:noProof/>
          <w:sz w:val="24"/>
          <w:szCs w:val="24"/>
        </w:rPr>
        <w:t>(Stevens et al., 2015)</w:t>
      </w:r>
      <w:r>
        <w:rPr>
          <w:rFonts w:ascii="Times New Roman" w:hAnsi="Times New Roman" w:cs="Times New Roman"/>
          <w:sz w:val="24"/>
          <w:szCs w:val="24"/>
        </w:rPr>
        <w:fldChar w:fldCharType="end"/>
      </w:r>
      <w:r>
        <w:rPr>
          <w:rFonts w:ascii="Times New Roman" w:hAnsi="Times New Roman" w:cs="Times New Roman"/>
          <w:sz w:val="24"/>
          <w:szCs w:val="24"/>
        </w:rPr>
        <w:t xml:space="preserve">. Although vitamin A </w:t>
      </w:r>
      <w:r w:rsidR="00150D32">
        <w:rPr>
          <w:rFonts w:ascii="Times New Roman" w:hAnsi="Times New Roman" w:cs="Times New Roman"/>
          <w:sz w:val="24"/>
          <w:szCs w:val="24"/>
        </w:rPr>
        <w:t xml:space="preserve">has many benefits in children, </w:t>
      </w:r>
      <w:r>
        <w:rPr>
          <w:rFonts w:ascii="Times New Roman" w:hAnsi="Times New Roman" w:cs="Times New Roman"/>
          <w:sz w:val="24"/>
          <w:szCs w:val="24"/>
        </w:rPr>
        <w:t xml:space="preserve">its effect on length of children gave both positive and no correlation, but had a shown a proven effect in reducing disease, </w:t>
      </w:r>
      <w:r w:rsidRPr="002C30B7">
        <w:rPr>
          <w:rFonts w:ascii="Times New Roman" w:hAnsi="Times New Roman" w:cs="Times New Roman"/>
          <w:sz w:val="24"/>
          <w:szCs w:val="24"/>
        </w:rPr>
        <w:fldChar w:fldCharType="begin" w:fldLock="1"/>
      </w:r>
      <w:r w:rsidRPr="002C30B7">
        <w:rPr>
          <w:rFonts w:ascii="Times New Roman" w:hAnsi="Times New Roman" w:cs="Times New Roman"/>
          <w:sz w:val="24"/>
          <w:szCs w:val="24"/>
        </w:rPr>
        <w:instrText>ADDIN CSL_CITATION {"citationItems":[{"id":"ITEM-1","itemData":{"DOI":"10.9734/EJNFS/2015/20954","ISBN":"1929-4247","ISSN":"23475641","abstract":"Abstract: Background: High levels of undernutrition, particularly stunting, have persisted in Kenya, like in other developing countries. The relationship betweeen vitamin A supplementation and growth of children in Kenya has not been established, while there are context-specific variations on the relationship. This study explores this relationship in the Kenyan context. Methods: The study uses data from the 2008-09 Kenya Demographic and Health Survey, involving children aged 24- 35 months, a weighted sample of 1029 children. Descriptive and logistic regression analyses were conducted. The outcome variable of interest is stunting, while the exposure variable of interest is ever receiving a dose of vitamin A supplement. Secondary outcomes include underweight and wasting status. Results: The prevalence of stunting in the study group was 46%; underweight 20%; and wasting 6%. The prevalence of ever receiving vitamin A supplement was 78%. Receiving vitamin A supplement was significantly negatively associated with stunting and underweight status, adjusting for other co-risk factors. The odds of stunting were 50% higher (p=0.038), while for underweight were 75% higher (p=0.013) among children who did not receive Vitamin A supplement compared with those who did. Conclusion: This study demonstrates that receiving vitamin A supplement may be beneficial to growth of young children in Kenya. However, though freely offered through immunization services to children 6-59 months, some children do not receive it, particularly after completing the immunization schedule. There is need to establish innovative and effective ways of maximizing utilization of this intervention, particularly for children who have completed their immunization schedule. Keywords:","author":[{"dropping-particle":"","family":"Kimani-murage","given":"Elizabeth W","non-dropping-particle":"","parse-names":false,"suffix":""},{"dropping-particle":"","family":"Ndedda","given":"Crispin","non-dropping-particle":"","parse-names":false,"suffix":""},{"dropping-particle":"","family":"Raleigh","given":"Katherine","non-dropping-particle":"","parse-names":false,"suffix":""},{"dropping-particle":"","family":"Masibo","given":"Peninah","non-dropping-particle":"","parse-names":false,"suffix":""}],"container-title":"International Journal of Child and Health Nutrition","id":"ITEM-1","issue":"020","issued":{"date-parts":[["2012"]]},"page":"135-147","title":"Vitamin A Supplementation and Stunting Levels Among Two Year Olds in Kenya : Evidence from the 2008-09 Kenya Demographic and Health Survey","type":"article-journal","volume":"254"},"uris":["http://www.mendeley.com/documents/?uuid=d33a80a3-3a55-4363-a11c-ec463ceb4687"]}],"mendeley":{"formattedCitation":"(Kimani-murage, Ndedda, Raleigh, &amp; Masibo, 2012)","plainTextFormattedCitation":"(Kimani-murage, Ndedda, Raleigh, &amp; Masibo, 2012)","previouslyFormattedCitation":"(Kimani-murage, Ndedda, Raleigh, &amp; Masibo, 2012)"},"properties":{"noteIndex":0},"schema":"https://github.com/citation-style-language/schema/raw/master/csl-citation.json"}</w:instrText>
      </w:r>
      <w:r w:rsidRPr="002C30B7">
        <w:rPr>
          <w:rFonts w:ascii="Times New Roman" w:hAnsi="Times New Roman" w:cs="Times New Roman"/>
          <w:sz w:val="24"/>
          <w:szCs w:val="24"/>
        </w:rPr>
        <w:fldChar w:fldCharType="separate"/>
      </w:r>
      <w:r w:rsidRPr="002C30B7">
        <w:rPr>
          <w:rFonts w:ascii="Times New Roman" w:hAnsi="Times New Roman" w:cs="Times New Roman"/>
          <w:noProof/>
          <w:sz w:val="24"/>
          <w:szCs w:val="24"/>
        </w:rPr>
        <w:t>(Kimani-murage, Ndedda, Raleigh, &amp; Masibo, 2012)</w:t>
      </w:r>
      <w:r w:rsidRPr="002C30B7">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9694A">
        <w:rPr>
          <w:rFonts w:ascii="Times New Roman" w:hAnsi="Times New Roman" w:cs="Times New Roman"/>
          <w:sz w:val="24"/>
          <w:szCs w:val="24"/>
        </w:rPr>
        <w:t>Since</w:t>
      </w:r>
      <w:r w:rsidRPr="003F1319">
        <w:rPr>
          <w:rFonts w:ascii="Times New Roman" w:hAnsi="Times New Roman" w:cs="Times New Roman"/>
          <w:color w:val="FF0000"/>
          <w:sz w:val="24"/>
          <w:szCs w:val="24"/>
        </w:rPr>
        <w:t xml:space="preserve"> </w:t>
      </w:r>
      <w:r>
        <w:rPr>
          <w:rFonts w:ascii="Times New Roman" w:hAnsi="Times New Roman" w:cs="Times New Roman"/>
          <w:sz w:val="24"/>
          <w:szCs w:val="24"/>
        </w:rPr>
        <w:t>frequent illness leads to wasting and recurrent wasting has been observed to result to stunting then lack of Vitamin A may</w:t>
      </w:r>
      <w:r w:rsidRPr="002C30B7">
        <w:rPr>
          <w:rFonts w:ascii="Times New Roman" w:hAnsi="Times New Roman" w:cs="Times New Roman"/>
          <w:sz w:val="24"/>
          <w:szCs w:val="24"/>
        </w:rPr>
        <w:t xml:space="preserve"> indirectly </w:t>
      </w:r>
      <w:r>
        <w:rPr>
          <w:rFonts w:ascii="Times New Roman" w:hAnsi="Times New Roman" w:cs="Times New Roman"/>
          <w:sz w:val="24"/>
          <w:szCs w:val="24"/>
        </w:rPr>
        <w:t>be contributing to increased rates of stunting in this study group.</w:t>
      </w:r>
      <w:r w:rsidRPr="002C30B7">
        <w:rPr>
          <w:rFonts w:ascii="Times New Roman" w:hAnsi="Times New Roman" w:cs="Times New Roman"/>
          <w:sz w:val="24"/>
          <w:szCs w:val="24"/>
        </w:rPr>
        <w:t xml:space="preserve"> </w:t>
      </w:r>
      <w:r w:rsidR="00150D32">
        <w:rPr>
          <w:rFonts w:ascii="Times New Roman" w:hAnsi="Times New Roman" w:cs="Times New Roman"/>
          <w:sz w:val="24"/>
          <w:szCs w:val="24"/>
        </w:rPr>
        <w:t>Sub optimal feeding was observed in this study and education to caregivers on feeding children would improve child growth.</w:t>
      </w:r>
    </w:p>
    <w:p w:rsidR="00047CA2" w:rsidRDefault="00047CA2" w:rsidP="000D229D">
      <w:pPr>
        <w:spacing w:after="0" w:line="360" w:lineRule="auto"/>
        <w:jc w:val="both"/>
        <w:rPr>
          <w:rFonts w:ascii="Times New Roman" w:hAnsi="Times New Roman" w:cs="Times New Roman"/>
          <w:sz w:val="24"/>
          <w:szCs w:val="24"/>
        </w:rPr>
      </w:pPr>
    </w:p>
    <w:p w:rsidR="00F77FF3" w:rsidRDefault="00F77FF3" w:rsidP="000D229D">
      <w:pPr>
        <w:spacing w:after="0" w:line="360" w:lineRule="auto"/>
        <w:jc w:val="both"/>
        <w:rPr>
          <w:rFonts w:ascii="Times New Roman" w:hAnsi="Times New Roman" w:cs="Times New Roman"/>
          <w:b/>
          <w:sz w:val="24"/>
          <w:szCs w:val="24"/>
        </w:rPr>
      </w:pPr>
      <w:r w:rsidRPr="00F77FF3">
        <w:rPr>
          <w:rFonts w:ascii="Times New Roman" w:hAnsi="Times New Roman" w:cs="Times New Roman"/>
          <w:b/>
          <w:sz w:val="24"/>
          <w:szCs w:val="24"/>
        </w:rPr>
        <w:t>Acknowledgement</w:t>
      </w:r>
    </w:p>
    <w:p w:rsidR="00150D32" w:rsidRDefault="00A379D1" w:rsidP="00413AC2">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I </w:t>
      </w:r>
      <w:r w:rsidR="00150D32" w:rsidRPr="00150D32">
        <w:rPr>
          <w:rFonts w:ascii="Times New Roman" w:eastAsia="Calibri" w:hAnsi="Times New Roman" w:cs="Times New Roman"/>
          <w:sz w:val="24"/>
          <w:szCs w:val="24"/>
          <w:lang w:val="en-GB"/>
        </w:rPr>
        <w:t xml:space="preserve">thank the entire lecturing staff of the department of Human Nutrition and Dietetics </w:t>
      </w:r>
      <w:r>
        <w:rPr>
          <w:rFonts w:ascii="Times New Roman" w:eastAsia="Calibri" w:hAnsi="Times New Roman" w:cs="Times New Roman"/>
          <w:sz w:val="24"/>
          <w:szCs w:val="24"/>
          <w:lang w:val="en-GB"/>
        </w:rPr>
        <w:t xml:space="preserve">and my </w:t>
      </w:r>
      <w:r w:rsidR="00150D32" w:rsidRPr="00150D32">
        <w:rPr>
          <w:rFonts w:ascii="Times New Roman" w:eastAsia="Calibri" w:hAnsi="Times New Roman" w:cs="Times New Roman"/>
          <w:sz w:val="24"/>
          <w:szCs w:val="24"/>
          <w:lang w:val="en-GB"/>
        </w:rPr>
        <w:t xml:space="preserve">colleagues for their ideas, moral support and encouragement through the whole period. I’m grateful to the participants (children and caregivers) who voluntarily participated in the study for their time and cooperation. </w:t>
      </w:r>
    </w:p>
    <w:p w:rsidR="00413AC2" w:rsidRPr="00150D32" w:rsidRDefault="00413AC2" w:rsidP="00413AC2">
      <w:pPr>
        <w:spacing w:after="0" w:line="360" w:lineRule="auto"/>
        <w:jc w:val="both"/>
        <w:rPr>
          <w:rFonts w:ascii="Times New Roman" w:eastAsia="Calibri" w:hAnsi="Times New Roman" w:cs="Times New Roman"/>
          <w:b/>
          <w:sz w:val="24"/>
          <w:szCs w:val="24"/>
          <w:lang w:val="en-GB"/>
        </w:rPr>
      </w:pPr>
    </w:p>
    <w:p w:rsidR="00047CA2" w:rsidRPr="00F77FF3" w:rsidRDefault="00047CA2" w:rsidP="00A379D1">
      <w:pPr>
        <w:spacing w:line="240" w:lineRule="auto"/>
        <w:rPr>
          <w:rFonts w:ascii="Times New Roman" w:hAnsi="Times New Roman" w:cs="Times New Roman"/>
          <w:b/>
          <w:sz w:val="24"/>
          <w:szCs w:val="24"/>
        </w:rPr>
      </w:pPr>
      <w:r w:rsidRPr="00F77FF3">
        <w:rPr>
          <w:rFonts w:ascii="Times New Roman" w:hAnsi="Times New Roman" w:cs="Times New Roman"/>
          <w:b/>
          <w:sz w:val="24"/>
          <w:szCs w:val="24"/>
        </w:rPr>
        <w:t>Reference</w:t>
      </w:r>
    </w:p>
    <w:p w:rsidR="00DB7DB4" w:rsidRPr="00C51D4D" w:rsidRDefault="00047CA2"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rPr>
        <w:fldChar w:fldCharType="begin" w:fldLock="1"/>
      </w:r>
      <w:r w:rsidRPr="00C51D4D">
        <w:rPr>
          <w:rFonts w:ascii="Times New Roman" w:hAnsi="Times New Roman" w:cs="Times New Roman"/>
        </w:rPr>
        <w:instrText xml:space="preserve">ADDIN Mendeley Bibliography CSL_BIBLIOGRAPHY </w:instrText>
      </w:r>
      <w:r w:rsidRPr="00C51D4D">
        <w:rPr>
          <w:rFonts w:ascii="Times New Roman" w:hAnsi="Times New Roman" w:cs="Times New Roman"/>
        </w:rPr>
        <w:fldChar w:fldCharType="separate"/>
      </w:r>
      <w:r w:rsidR="00DB7DB4" w:rsidRPr="00C51D4D">
        <w:rPr>
          <w:rFonts w:ascii="Times New Roman" w:hAnsi="Times New Roman" w:cs="Times New Roman"/>
          <w:noProof/>
        </w:rPr>
        <w:t xml:space="preserve">Bhutta, Z. A., Ahmed, T., Black, R. E., Cousens, S., Dewey, K., Giugliani, E., … Shekar, M. (2008). What works? Interventions for maternal and child undernutrition and survival. </w:t>
      </w:r>
      <w:r w:rsidR="00DB7DB4" w:rsidRPr="00C51D4D">
        <w:rPr>
          <w:rFonts w:ascii="Times New Roman" w:hAnsi="Times New Roman" w:cs="Times New Roman"/>
          <w:i/>
          <w:iCs/>
          <w:noProof/>
        </w:rPr>
        <w:t>The Lancet</w:t>
      </w:r>
      <w:r w:rsidR="00DB7DB4" w:rsidRPr="00C51D4D">
        <w:rPr>
          <w:rFonts w:ascii="Times New Roman" w:hAnsi="Times New Roman" w:cs="Times New Roman"/>
          <w:noProof/>
        </w:rPr>
        <w:t xml:space="preserve">, </w:t>
      </w:r>
      <w:r w:rsidR="00DB7DB4" w:rsidRPr="00C51D4D">
        <w:rPr>
          <w:rFonts w:ascii="Times New Roman" w:hAnsi="Times New Roman" w:cs="Times New Roman"/>
          <w:i/>
          <w:iCs/>
          <w:noProof/>
        </w:rPr>
        <w:t>371</w:t>
      </w:r>
      <w:r w:rsidR="00DB7DB4" w:rsidRPr="00C51D4D">
        <w:rPr>
          <w:rFonts w:ascii="Times New Roman" w:hAnsi="Times New Roman" w:cs="Times New Roman"/>
          <w:noProof/>
        </w:rPr>
        <w:t>(9610), 417–440. https://doi.org/10.1016/S0140-6736(07)61693-6</w:t>
      </w:r>
    </w:p>
    <w:p w:rsidR="00DB7DB4" w:rsidRPr="00C51D4D" w:rsidRDefault="00A379D1"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B</w:t>
      </w:r>
      <w:r w:rsidR="00DB7DB4" w:rsidRPr="00C51D4D">
        <w:rPr>
          <w:rFonts w:ascii="Times New Roman" w:hAnsi="Times New Roman" w:cs="Times New Roman"/>
          <w:noProof/>
        </w:rPr>
        <w:t xml:space="preserve">riend, A., Khara, T., &amp; Dolan, C. (2015). Wasting and stunting-similarities and differences: Policy and programmatic implications. </w:t>
      </w:r>
      <w:r w:rsidR="00DB7DB4" w:rsidRPr="00C51D4D">
        <w:rPr>
          <w:rFonts w:ascii="Times New Roman" w:hAnsi="Times New Roman" w:cs="Times New Roman"/>
          <w:i/>
          <w:iCs/>
          <w:noProof/>
        </w:rPr>
        <w:t>Food and Nutrition Bulletin</w:t>
      </w:r>
      <w:r w:rsidR="00DB7DB4" w:rsidRPr="00C51D4D">
        <w:rPr>
          <w:rFonts w:ascii="Times New Roman" w:hAnsi="Times New Roman" w:cs="Times New Roman"/>
          <w:noProof/>
        </w:rPr>
        <w:t xml:space="preserve">, </w:t>
      </w:r>
      <w:r w:rsidR="00DB7DB4" w:rsidRPr="00C51D4D">
        <w:rPr>
          <w:rFonts w:ascii="Times New Roman" w:hAnsi="Times New Roman" w:cs="Times New Roman"/>
          <w:i/>
          <w:iCs/>
          <w:noProof/>
        </w:rPr>
        <w:t>36</w:t>
      </w:r>
      <w:r w:rsidR="00DB7DB4" w:rsidRPr="00C51D4D">
        <w:rPr>
          <w:rFonts w:ascii="Times New Roman" w:hAnsi="Times New Roman" w:cs="Times New Roman"/>
          <w:noProof/>
        </w:rPr>
        <w:t>(1), S15–S23. https://doi.org/10.1177/15648265150361S103</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Dewey, K. G., &amp; Adu-afarwuah, S. (2008). Review Article Systematic review of the efficacy and effectiveness of complementary feeding interventions in developing countries, 24–85.</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Dewey, K. G., &amp; Brown, K. H. (2003). Update on technical issues concerning complementary feeding of young children in developing countries and implications for intervention programs, </w:t>
      </w:r>
      <w:r w:rsidRPr="00C51D4D">
        <w:rPr>
          <w:rFonts w:ascii="Times New Roman" w:hAnsi="Times New Roman" w:cs="Times New Roman"/>
          <w:i/>
          <w:iCs/>
          <w:noProof/>
        </w:rPr>
        <w:t>24</w:t>
      </w:r>
      <w:r w:rsidRPr="00C51D4D">
        <w:rPr>
          <w:rFonts w:ascii="Times New Roman" w:hAnsi="Times New Roman" w:cs="Times New Roman"/>
          <w:noProof/>
        </w:rPr>
        <w:t>(1), 5–28.</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Ekpo, U. F., Omotayo, A. M., &amp; Dipeolu, M. A. (2008). Prevalence of malnutrition among settled pastoral Fulani children in Southwest Nigeria, </w:t>
      </w:r>
      <w:r w:rsidRPr="00C51D4D">
        <w:rPr>
          <w:rFonts w:ascii="Times New Roman" w:hAnsi="Times New Roman" w:cs="Times New Roman"/>
          <w:i/>
          <w:iCs/>
          <w:noProof/>
        </w:rPr>
        <w:t>7</w:t>
      </w:r>
      <w:r w:rsidRPr="00C51D4D">
        <w:rPr>
          <w:rFonts w:ascii="Times New Roman" w:hAnsi="Times New Roman" w:cs="Times New Roman"/>
          <w:noProof/>
        </w:rPr>
        <w:t>, 1–7. https://doi.org/10.1186/1756-0500-1-7</w:t>
      </w:r>
    </w:p>
    <w:p w:rsidR="00413AC2" w:rsidRPr="00C51D4D" w:rsidRDefault="00DB7DB4" w:rsidP="00C51D4D">
      <w:pPr>
        <w:widowControl w:val="0"/>
        <w:autoSpaceDE w:val="0"/>
        <w:autoSpaceDN w:val="0"/>
        <w:adjustRightInd w:val="0"/>
        <w:spacing w:after="0" w:line="240" w:lineRule="auto"/>
        <w:ind w:left="480" w:hanging="480"/>
        <w:jc w:val="both"/>
        <w:rPr>
          <w:rFonts w:ascii="Times New Roman" w:eastAsia="Calibri" w:hAnsi="Times New Roman" w:cs="Times New Roman"/>
          <w:noProof/>
          <w:lang w:val="en-GB"/>
        </w:rPr>
      </w:pPr>
      <w:r w:rsidRPr="00C51D4D">
        <w:rPr>
          <w:rFonts w:ascii="Times New Roman" w:hAnsi="Times New Roman" w:cs="Times New Roman"/>
          <w:noProof/>
        </w:rPr>
        <w:t xml:space="preserve">FAO. (2009). Declaration of the World Summit on Food Security. </w:t>
      </w:r>
      <w:r w:rsidRPr="00C51D4D">
        <w:rPr>
          <w:rFonts w:ascii="Times New Roman" w:hAnsi="Times New Roman" w:cs="Times New Roman"/>
          <w:i/>
          <w:iCs/>
          <w:noProof/>
        </w:rPr>
        <w:t>World Food Summit</w:t>
      </w:r>
      <w:r w:rsidRPr="00C51D4D">
        <w:rPr>
          <w:rFonts w:ascii="Times New Roman" w:hAnsi="Times New Roman" w:cs="Times New Roman"/>
          <w:noProof/>
        </w:rPr>
        <w:t>, (November 2009), 16–18.</w:t>
      </w:r>
      <w:r w:rsidR="00413AC2" w:rsidRPr="00C51D4D">
        <w:rPr>
          <w:rFonts w:ascii="Times New Roman" w:eastAsia="Calibri" w:hAnsi="Times New Roman" w:cs="Times New Roman"/>
          <w:noProof/>
          <w:lang w:val="en-GB"/>
        </w:rPr>
        <w:t xml:space="preserve"> Fisher A.A., Laing J.E., and Townsend J.W (1991)</w:t>
      </w:r>
      <w:r w:rsidR="00413AC2" w:rsidRPr="00C51D4D">
        <w:rPr>
          <w:rFonts w:ascii="Times New Roman" w:eastAsia="Calibri" w:hAnsi="Times New Roman" w:cs="Times New Roman"/>
          <w:i/>
          <w:noProof/>
          <w:lang w:val="en-GB"/>
        </w:rPr>
        <w:t xml:space="preserve">Handbook of Family planning </w:t>
      </w:r>
      <w:r w:rsidR="00413AC2" w:rsidRPr="00C51D4D">
        <w:rPr>
          <w:rFonts w:ascii="Times New Roman" w:eastAsia="Calibri" w:hAnsi="Times New Roman" w:cs="Times New Roman"/>
          <w:i/>
          <w:noProof/>
          <w:lang w:val="en-GB"/>
        </w:rPr>
        <w:lastRenderedPageBreak/>
        <w:t>Operations Research Design 2</w:t>
      </w:r>
      <w:r w:rsidR="00413AC2" w:rsidRPr="00C51D4D">
        <w:rPr>
          <w:rFonts w:ascii="Times New Roman" w:eastAsia="Calibri" w:hAnsi="Times New Roman" w:cs="Times New Roman"/>
          <w:i/>
          <w:noProof/>
          <w:vertAlign w:val="superscript"/>
          <w:lang w:val="en-GB"/>
        </w:rPr>
        <w:t>nd</w:t>
      </w:r>
      <w:r w:rsidR="00413AC2" w:rsidRPr="00C51D4D">
        <w:rPr>
          <w:rFonts w:ascii="Times New Roman" w:eastAsia="Calibri" w:hAnsi="Times New Roman" w:cs="Times New Roman"/>
          <w:i/>
          <w:noProof/>
          <w:lang w:val="en-GB"/>
        </w:rPr>
        <w:t xml:space="preserve"> ed.p43.</w:t>
      </w:r>
      <w:r w:rsidR="00413AC2" w:rsidRPr="00C51D4D">
        <w:rPr>
          <w:rFonts w:ascii="Times New Roman" w:eastAsia="Calibri" w:hAnsi="Times New Roman" w:cs="Times New Roman"/>
          <w:noProof/>
          <w:lang w:val="en-GB"/>
        </w:rPr>
        <w:t>Population Council. New York, USA. Available on:www.popcouncil.org</w:t>
      </w:r>
    </w:p>
    <w:p w:rsidR="00413AC2" w:rsidRPr="00413AC2" w:rsidRDefault="00413AC2" w:rsidP="00C51D4D">
      <w:pPr>
        <w:widowControl w:val="0"/>
        <w:autoSpaceDE w:val="0"/>
        <w:autoSpaceDN w:val="0"/>
        <w:adjustRightInd w:val="0"/>
        <w:spacing w:after="0" w:line="240" w:lineRule="auto"/>
        <w:ind w:left="480" w:hanging="480"/>
        <w:jc w:val="both"/>
        <w:rPr>
          <w:rFonts w:ascii="Times New Roman" w:eastAsia="Calibri" w:hAnsi="Times New Roman" w:cs="Times New Roman"/>
          <w:noProof/>
          <w:lang w:val="en-GB"/>
        </w:rPr>
      </w:pPr>
      <w:r w:rsidRPr="00413AC2">
        <w:rPr>
          <w:rFonts w:ascii="Times New Roman" w:eastAsia="Calibri" w:hAnsi="Times New Roman" w:cs="Times New Roman"/>
          <w:noProof/>
          <w:lang w:val="en-GB"/>
        </w:rPr>
        <w:t>Fisher A.A., Laing J.E., and Townsend J.W (1991)</w:t>
      </w:r>
      <w:r w:rsidRPr="00413AC2">
        <w:rPr>
          <w:rFonts w:ascii="Times New Roman" w:eastAsia="Calibri" w:hAnsi="Times New Roman" w:cs="Times New Roman"/>
          <w:i/>
          <w:noProof/>
          <w:lang w:val="en-GB"/>
        </w:rPr>
        <w:t>Handbook of Family planning Operations Research Design 2</w:t>
      </w:r>
      <w:r w:rsidRPr="00413AC2">
        <w:rPr>
          <w:rFonts w:ascii="Times New Roman" w:eastAsia="Calibri" w:hAnsi="Times New Roman" w:cs="Times New Roman"/>
          <w:i/>
          <w:noProof/>
          <w:vertAlign w:val="superscript"/>
          <w:lang w:val="en-GB"/>
        </w:rPr>
        <w:t>nd</w:t>
      </w:r>
      <w:r w:rsidRPr="00413AC2">
        <w:rPr>
          <w:rFonts w:ascii="Times New Roman" w:eastAsia="Calibri" w:hAnsi="Times New Roman" w:cs="Times New Roman"/>
          <w:i/>
          <w:noProof/>
          <w:lang w:val="en-GB"/>
        </w:rPr>
        <w:t xml:space="preserve"> ed.p43.</w:t>
      </w:r>
      <w:r w:rsidRPr="00413AC2">
        <w:rPr>
          <w:rFonts w:ascii="Times New Roman" w:eastAsia="Calibri" w:hAnsi="Times New Roman" w:cs="Times New Roman"/>
          <w:noProof/>
          <w:lang w:val="en-GB"/>
        </w:rPr>
        <w:t>Population Council. New York, USA. Available on:www.popcouncil.org</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Geleta, B., Abeshu, M., Adish, A., Haki, G., &amp; Lelisa, A. (2016). Evaluation of energy, protein, and selected micronutrient density of homemade complementary foods consumed by children between 6 months and 23 months in food insecure woredas of Wolayita zone, Southern Ethiopia. </w:t>
      </w:r>
      <w:r w:rsidRPr="00C51D4D">
        <w:rPr>
          <w:rFonts w:ascii="Times New Roman" w:hAnsi="Times New Roman" w:cs="Times New Roman"/>
          <w:i/>
          <w:iCs/>
          <w:noProof/>
        </w:rPr>
        <w:t>Nutrition and Dietary Supplements</w:t>
      </w:r>
      <w:r w:rsidRPr="00C51D4D">
        <w:rPr>
          <w:rFonts w:ascii="Times New Roman" w:hAnsi="Times New Roman" w:cs="Times New Roman"/>
          <w:noProof/>
        </w:rPr>
        <w:t xml:space="preserve">, </w:t>
      </w:r>
      <w:r w:rsidRPr="00C51D4D">
        <w:rPr>
          <w:rFonts w:ascii="Times New Roman" w:hAnsi="Times New Roman" w:cs="Times New Roman"/>
          <w:i/>
          <w:iCs/>
          <w:noProof/>
        </w:rPr>
        <w:t>Volume 8</w:t>
      </w:r>
      <w:r w:rsidRPr="00C51D4D">
        <w:rPr>
          <w:rFonts w:ascii="Times New Roman" w:hAnsi="Times New Roman" w:cs="Times New Roman"/>
          <w:noProof/>
        </w:rPr>
        <w:t>, 71–84. https://doi.org/10.2147/NDS.S112736</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Gichihi, M. A. (2017). Kenya Country Summary , March 2017, (March), 1–6.</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Group, W. B. (2015). Levels and trends in child malnutrition.</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i/>
          <w:iCs/>
          <w:noProof/>
        </w:rPr>
        <w:t>Guidelines for measuring household and individual dietary diversity</w:t>
      </w:r>
      <w:r w:rsidRPr="00C51D4D">
        <w:rPr>
          <w:rFonts w:ascii="Times New Roman" w:hAnsi="Times New Roman" w:cs="Times New Roman"/>
          <w:noProof/>
        </w:rPr>
        <w:t>. (n.d.).</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Hassen, K., Gizaw, G., &amp; Belachew, T. (2017). Dual Burden of Malnutrition among Adolescents of Smallholder Coffee Farming Households of Jimma Zone, Southwest Ethiopia. </w:t>
      </w:r>
      <w:r w:rsidRPr="00C51D4D">
        <w:rPr>
          <w:rFonts w:ascii="Times New Roman" w:hAnsi="Times New Roman" w:cs="Times New Roman"/>
          <w:i/>
          <w:iCs/>
          <w:noProof/>
        </w:rPr>
        <w:t>Food and Nutrition Bulletin</w:t>
      </w:r>
      <w:r w:rsidRPr="00C51D4D">
        <w:rPr>
          <w:rFonts w:ascii="Times New Roman" w:hAnsi="Times New Roman" w:cs="Times New Roman"/>
          <w:noProof/>
        </w:rPr>
        <w:t xml:space="preserve">, </w:t>
      </w:r>
      <w:r w:rsidRPr="00C51D4D">
        <w:rPr>
          <w:rFonts w:ascii="Times New Roman" w:hAnsi="Times New Roman" w:cs="Times New Roman"/>
          <w:i/>
          <w:iCs/>
          <w:noProof/>
        </w:rPr>
        <w:t>38</w:t>
      </w:r>
      <w:r w:rsidRPr="00C51D4D">
        <w:rPr>
          <w:rFonts w:ascii="Times New Roman" w:hAnsi="Times New Roman" w:cs="Times New Roman"/>
          <w:noProof/>
        </w:rPr>
        <w:t>(2), 196–208. https://doi.org/10.1177/0379572117701660</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Herrador, Z., Sordo, L., Gadisa, E., Moreno, J., Nieto, J., Custodio, E., … Can, C. (2014). Cross-Sectional Study of Malnutrition and Associated Factors among School Aged Children in Rural and Urban Settings of Fogera and Libo Kemkem Districts , Ethiopia, </w:t>
      </w:r>
      <w:r w:rsidRPr="00C51D4D">
        <w:rPr>
          <w:rFonts w:ascii="Times New Roman" w:hAnsi="Times New Roman" w:cs="Times New Roman"/>
          <w:i/>
          <w:iCs/>
          <w:noProof/>
        </w:rPr>
        <w:t>9</w:t>
      </w:r>
      <w:r w:rsidRPr="00C51D4D">
        <w:rPr>
          <w:rFonts w:ascii="Times New Roman" w:hAnsi="Times New Roman" w:cs="Times New Roman"/>
          <w:noProof/>
        </w:rPr>
        <w:t>(9), 1–11. https://doi.org/10.1371/journal.pone.0105880</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Hess, S. Y. (2017). National Risk of Zinc Deficiency as Estimated by National Surveys. </w:t>
      </w:r>
      <w:r w:rsidRPr="00C51D4D">
        <w:rPr>
          <w:rFonts w:ascii="Times New Roman" w:hAnsi="Times New Roman" w:cs="Times New Roman"/>
          <w:i/>
          <w:iCs/>
          <w:noProof/>
        </w:rPr>
        <w:t>Food and Nutrition Bulletin</w:t>
      </w:r>
      <w:r w:rsidRPr="00C51D4D">
        <w:rPr>
          <w:rFonts w:ascii="Times New Roman" w:hAnsi="Times New Roman" w:cs="Times New Roman"/>
          <w:noProof/>
        </w:rPr>
        <w:t xml:space="preserve">, </w:t>
      </w:r>
      <w:r w:rsidRPr="00C51D4D">
        <w:rPr>
          <w:rFonts w:ascii="Times New Roman" w:hAnsi="Times New Roman" w:cs="Times New Roman"/>
          <w:i/>
          <w:iCs/>
          <w:noProof/>
        </w:rPr>
        <w:t>38</w:t>
      </w:r>
      <w:r w:rsidRPr="00C51D4D">
        <w:rPr>
          <w:rFonts w:ascii="Times New Roman" w:hAnsi="Times New Roman" w:cs="Times New Roman"/>
          <w:noProof/>
        </w:rPr>
        <w:t>(1), 3–17. https://doi.org/10.1177/0379572116689000</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Jonah, C. M. P., Sambu, W. C., &amp; May, J. D. (2018). A comparative analysis of socioeconomic inequities in stunting : a case of three middle-income African countries, 1–15.</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Kamudoni, P., Maleta, K., &amp; Shi, Z. (2014). Exclusive breastfeeding duration during the fi rst 6 months of life is positively associated with length-for-age among infants 6 – 12 months old , in Mangochi district , Malawi, </w:t>
      </w:r>
      <w:r w:rsidRPr="00C51D4D">
        <w:rPr>
          <w:rFonts w:ascii="Times New Roman" w:hAnsi="Times New Roman" w:cs="Times New Roman"/>
          <w:i/>
          <w:iCs/>
          <w:noProof/>
        </w:rPr>
        <w:t>69</w:t>
      </w:r>
      <w:r w:rsidRPr="00C51D4D">
        <w:rPr>
          <w:rFonts w:ascii="Times New Roman" w:hAnsi="Times New Roman" w:cs="Times New Roman"/>
          <w:noProof/>
        </w:rPr>
        <w:t>(1), 96–101. https://doi.org/10.1038/ejcn.2014.148</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Kasai, E., &amp; Republic, D. (n.d.). Malnutrition in a land of plenty, </w:t>
      </w:r>
      <w:r w:rsidRPr="00C51D4D">
        <w:rPr>
          <w:rFonts w:ascii="Times New Roman" w:hAnsi="Times New Roman" w:cs="Times New Roman"/>
          <w:i/>
          <w:iCs/>
          <w:noProof/>
        </w:rPr>
        <w:t>1</w:t>
      </w:r>
      <w:r w:rsidRPr="00C51D4D">
        <w:rPr>
          <w:rFonts w:ascii="Times New Roman" w:hAnsi="Times New Roman" w:cs="Times New Roman"/>
          <w:noProof/>
        </w:rPr>
        <w:t>, 1–12.</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Kathyrn Dewey. (2001). Guiding Principles for Complementary Feeding of the Breastfed (PAHO and WHO). </w:t>
      </w:r>
      <w:r w:rsidRPr="00C51D4D">
        <w:rPr>
          <w:rFonts w:ascii="Times New Roman" w:hAnsi="Times New Roman" w:cs="Times New Roman"/>
          <w:i/>
          <w:iCs/>
          <w:noProof/>
        </w:rPr>
        <w:t>Pan American Health Organization and World Health Organization</w:t>
      </w:r>
      <w:r w:rsidRPr="00C51D4D">
        <w:rPr>
          <w:rFonts w:ascii="Times New Roman" w:hAnsi="Times New Roman" w:cs="Times New Roman"/>
          <w:noProof/>
        </w:rPr>
        <w:t>, 18–25. https://doi.org/10.1017/S1368980011002485</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Kimani-murage, E. W., Ndedda, C., Raleigh, K., &amp; Masibo, P. (2012). Vitamin A Supplementation and Stunting Levels Among Two Year Olds in Kenya : Evidence from the 2008-09 Kenya Demographic and Health Survey. </w:t>
      </w:r>
      <w:r w:rsidRPr="00C51D4D">
        <w:rPr>
          <w:rFonts w:ascii="Times New Roman" w:hAnsi="Times New Roman" w:cs="Times New Roman"/>
          <w:i/>
          <w:iCs/>
          <w:noProof/>
        </w:rPr>
        <w:t>International Journal of Child and Health Nutrition</w:t>
      </w:r>
      <w:r w:rsidRPr="00C51D4D">
        <w:rPr>
          <w:rFonts w:ascii="Times New Roman" w:hAnsi="Times New Roman" w:cs="Times New Roman"/>
          <w:noProof/>
        </w:rPr>
        <w:t xml:space="preserve">, </w:t>
      </w:r>
      <w:r w:rsidRPr="00C51D4D">
        <w:rPr>
          <w:rFonts w:ascii="Times New Roman" w:hAnsi="Times New Roman" w:cs="Times New Roman"/>
          <w:i/>
          <w:iCs/>
          <w:noProof/>
        </w:rPr>
        <w:t>254</w:t>
      </w:r>
      <w:r w:rsidRPr="00C51D4D">
        <w:rPr>
          <w:rFonts w:ascii="Times New Roman" w:hAnsi="Times New Roman" w:cs="Times New Roman"/>
          <w:noProof/>
        </w:rPr>
        <w:t>(020), 135–147. https://doi.org/10.9734/EJNFS/2015/20954</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Martin, C., Ling, P.-R., &amp; Blackburn, G. (2016). Review of Infant Feeding: Key Features of Breast Milk and Infant Formula. </w:t>
      </w:r>
      <w:r w:rsidRPr="00C51D4D">
        <w:rPr>
          <w:rFonts w:ascii="Times New Roman" w:hAnsi="Times New Roman" w:cs="Times New Roman"/>
          <w:i/>
          <w:iCs/>
          <w:noProof/>
        </w:rPr>
        <w:t>Nutrients</w:t>
      </w:r>
      <w:r w:rsidRPr="00C51D4D">
        <w:rPr>
          <w:rFonts w:ascii="Times New Roman" w:hAnsi="Times New Roman" w:cs="Times New Roman"/>
          <w:noProof/>
        </w:rPr>
        <w:t xml:space="preserve">, </w:t>
      </w:r>
      <w:r w:rsidRPr="00C51D4D">
        <w:rPr>
          <w:rFonts w:ascii="Times New Roman" w:hAnsi="Times New Roman" w:cs="Times New Roman"/>
          <w:i/>
          <w:iCs/>
          <w:noProof/>
        </w:rPr>
        <w:t>8</w:t>
      </w:r>
      <w:r w:rsidRPr="00C51D4D">
        <w:rPr>
          <w:rFonts w:ascii="Times New Roman" w:hAnsi="Times New Roman" w:cs="Times New Roman"/>
          <w:noProof/>
        </w:rPr>
        <w:t>(5), 279. https://doi.org/10.3390/nu8050279</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Martorell, R., &amp; Zongrone, A. (2012). Intergenerational influences on child growth and undernutrition. </w:t>
      </w:r>
      <w:r w:rsidRPr="00C51D4D">
        <w:rPr>
          <w:rFonts w:ascii="Times New Roman" w:hAnsi="Times New Roman" w:cs="Times New Roman"/>
          <w:i/>
          <w:iCs/>
          <w:noProof/>
        </w:rPr>
        <w:t>Paediatric and Perinatal Epidemiology</w:t>
      </w:r>
      <w:r w:rsidRPr="00C51D4D">
        <w:rPr>
          <w:rFonts w:ascii="Times New Roman" w:hAnsi="Times New Roman" w:cs="Times New Roman"/>
          <w:noProof/>
        </w:rPr>
        <w:t xml:space="preserve">, </w:t>
      </w:r>
      <w:r w:rsidRPr="00C51D4D">
        <w:rPr>
          <w:rFonts w:ascii="Times New Roman" w:hAnsi="Times New Roman" w:cs="Times New Roman"/>
          <w:i/>
          <w:iCs/>
          <w:noProof/>
        </w:rPr>
        <w:t>26</w:t>
      </w:r>
      <w:r w:rsidRPr="00C51D4D">
        <w:rPr>
          <w:rFonts w:ascii="Times New Roman" w:hAnsi="Times New Roman" w:cs="Times New Roman"/>
          <w:noProof/>
        </w:rPr>
        <w:t>(SUPPL. 1), 302–314. https://doi.org/10.1111/j.1365-3016.2012.01298.x</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Metabolome, H. M., Sundekilde, U. K., Downey, E., Mahony, J. A. O., Shea, C. O., Ryan, C. A., … Bertram, H. C. (2016). The Effect of Gestational and Lactational Age on the, 1–15. https://doi.org/10.3390/nu8050304</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Motbainor, A., Worku, A., &amp; Kumie, A. (2015). Stunting is associated with food diversity while wasting with food insecurity among underfive children in East and West Gojjam Zones of Amhara Region, Ethiopia. </w:t>
      </w:r>
      <w:r w:rsidRPr="00C51D4D">
        <w:rPr>
          <w:rFonts w:ascii="Times New Roman" w:hAnsi="Times New Roman" w:cs="Times New Roman"/>
          <w:i/>
          <w:iCs/>
          <w:noProof/>
        </w:rPr>
        <w:t>PLoS ONE</w:t>
      </w:r>
      <w:r w:rsidRPr="00C51D4D">
        <w:rPr>
          <w:rFonts w:ascii="Times New Roman" w:hAnsi="Times New Roman" w:cs="Times New Roman"/>
          <w:noProof/>
        </w:rPr>
        <w:t xml:space="preserve">, </w:t>
      </w:r>
      <w:r w:rsidRPr="00C51D4D">
        <w:rPr>
          <w:rFonts w:ascii="Times New Roman" w:hAnsi="Times New Roman" w:cs="Times New Roman"/>
          <w:i/>
          <w:iCs/>
          <w:noProof/>
        </w:rPr>
        <w:t>10</w:t>
      </w:r>
      <w:r w:rsidRPr="00C51D4D">
        <w:rPr>
          <w:rFonts w:ascii="Times New Roman" w:hAnsi="Times New Roman" w:cs="Times New Roman"/>
          <w:noProof/>
        </w:rPr>
        <w:t>(8), 1–14. https://doi.org/10.1371/journal.pone.0133542</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Mututho, L. N., Kiboi, W. K., &amp; Mucheru, P. K. (2017). Factors associated with exclusive breastfeeding in Kenya: a systematic review. </w:t>
      </w:r>
      <w:r w:rsidRPr="00C51D4D">
        <w:rPr>
          <w:rFonts w:ascii="Times New Roman" w:hAnsi="Times New Roman" w:cs="Times New Roman"/>
          <w:i/>
          <w:iCs/>
          <w:noProof/>
        </w:rPr>
        <w:t>International Journal Of Community Medicine And Public Health</w:t>
      </w:r>
      <w:r w:rsidRPr="00C51D4D">
        <w:rPr>
          <w:rFonts w:ascii="Times New Roman" w:hAnsi="Times New Roman" w:cs="Times New Roman"/>
          <w:noProof/>
        </w:rPr>
        <w:t xml:space="preserve">, </w:t>
      </w:r>
      <w:r w:rsidRPr="00C51D4D">
        <w:rPr>
          <w:rFonts w:ascii="Times New Roman" w:hAnsi="Times New Roman" w:cs="Times New Roman"/>
          <w:i/>
          <w:iCs/>
          <w:noProof/>
        </w:rPr>
        <w:t>4</w:t>
      </w:r>
      <w:r w:rsidRPr="00C51D4D">
        <w:rPr>
          <w:rFonts w:ascii="Times New Roman" w:hAnsi="Times New Roman" w:cs="Times New Roman"/>
          <w:noProof/>
        </w:rPr>
        <w:t>(12), 4358. https://doi.org/10.18203/2394-6040.ijcmph20175305</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Njiru, J., &amp; Matiri, E. (2013). Maternal, Infant and Young child nutrition: National: National Operational Guidelines for health workers, 18–160.</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Poblacion, A. P., Cook, J. T., Marín-León, L., Segall-Corrêa, A. M., Silveira, J. A. C., Konstantyner, T., &amp; Taddei, J. A. A. C. (2016). Food Insecurity and the Negative Impact on Brazilian Children’s </w:t>
      </w:r>
      <w:r w:rsidRPr="00C51D4D">
        <w:rPr>
          <w:rFonts w:ascii="Times New Roman" w:hAnsi="Times New Roman" w:cs="Times New Roman"/>
          <w:noProof/>
        </w:rPr>
        <w:lastRenderedPageBreak/>
        <w:t xml:space="preserve">Health - Why Does Food Security Matter for Our Future Prosperity? Brazilian National Survey (PNDS 2006/07). </w:t>
      </w:r>
      <w:r w:rsidRPr="00C51D4D">
        <w:rPr>
          <w:rFonts w:ascii="Times New Roman" w:hAnsi="Times New Roman" w:cs="Times New Roman"/>
          <w:i/>
          <w:iCs/>
          <w:noProof/>
        </w:rPr>
        <w:t>Food and Nutrition Bulletin</w:t>
      </w:r>
      <w:r w:rsidRPr="00C51D4D">
        <w:rPr>
          <w:rFonts w:ascii="Times New Roman" w:hAnsi="Times New Roman" w:cs="Times New Roman"/>
          <w:noProof/>
        </w:rPr>
        <w:t xml:space="preserve">, </w:t>
      </w:r>
      <w:r w:rsidRPr="00C51D4D">
        <w:rPr>
          <w:rFonts w:ascii="Times New Roman" w:hAnsi="Times New Roman" w:cs="Times New Roman"/>
          <w:i/>
          <w:iCs/>
          <w:noProof/>
        </w:rPr>
        <w:t>37</w:t>
      </w:r>
      <w:r w:rsidRPr="00C51D4D">
        <w:rPr>
          <w:rFonts w:ascii="Times New Roman" w:hAnsi="Times New Roman" w:cs="Times New Roman"/>
          <w:noProof/>
        </w:rPr>
        <w:t>(4), 585–598. https://doi.org/10.1177/0379572116664167</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Prendergast, A. J., Humphrey, J. H., Prendergast, A. J., &amp; Humphrey, J. H. (2017). Paediatrics and International Child Health The stunting syndrome in developing countries The stunting syndrome in developing countries, </w:t>
      </w:r>
      <w:r w:rsidRPr="00C51D4D">
        <w:rPr>
          <w:rFonts w:ascii="Times New Roman" w:hAnsi="Times New Roman" w:cs="Times New Roman"/>
          <w:i/>
          <w:iCs/>
          <w:noProof/>
        </w:rPr>
        <w:t>9047</w:t>
      </w:r>
      <w:r w:rsidRPr="00C51D4D">
        <w:rPr>
          <w:rFonts w:ascii="Times New Roman" w:hAnsi="Times New Roman" w:cs="Times New Roman"/>
          <w:noProof/>
        </w:rPr>
        <w:t>(May). https://doi.org/10.1179/2046905514Y.0000000158</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Rah, J. H., Akhter, N., Semba, R. D., Pee, S. De, Bloem, M. W., Campbell, A. A., … Kraemer, K. (2010). Low dietary diversity is a predictor of child stunting in rural Bangladesh. </w:t>
      </w:r>
      <w:r w:rsidRPr="00C51D4D">
        <w:rPr>
          <w:rFonts w:ascii="Times New Roman" w:hAnsi="Times New Roman" w:cs="Times New Roman"/>
          <w:i/>
          <w:iCs/>
          <w:noProof/>
        </w:rPr>
        <w:t>European Journal of Clinical Nutrition</w:t>
      </w:r>
      <w:r w:rsidRPr="00C51D4D">
        <w:rPr>
          <w:rFonts w:ascii="Times New Roman" w:hAnsi="Times New Roman" w:cs="Times New Roman"/>
          <w:noProof/>
        </w:rPr>
        <w:t xml:space="preserve">, </w:t>
      </w:r>
      <w:r w:rsidRPr="00C51D4D">
        <w:rPr>
          <w:rFonts w:ascii="Times New Roman" w:hAnsi="Times New Roman" w:cs="Times New Roman"/>
          <w:i/>
          <w:iCs/>
          <w:noProof/>
        </w:rPr>
        <w:t>64</w:t>
      </w:r>
      <w:r w:rsidRPr="00C51D4D">
        <w:rPr>
          <w:rFonts w:ascii="Times New Roman" w:hAnsi="Times New Roman" w:cs="Times New Roman"/>
          <w:noProof/>
        </w:rPr>
        <w:t>(12), 1393–1398. https://doi.org/10.1038/ejcn.2010.171</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Research Institute (IFPRI), I. F. P. (2016). </w:t>
      </w:r>
      <w:r w:rsidRPr="00C51D4D">
        <w:rPr>
          <w:rFonts w:ascii="Times New Roman" w:hAnsi="Times New Roman" w:cs="Times New Roman"/>
          <w:i/>
          <w:iCs/>
          <w:noProof/>
        </w:rPr>
        <w:t>Global Nutrition Report 2016 From Promise to Impact Ending Malnutrition by 2030 Summary</w:t>
      </w:r>
      <w:r w:rsidRPr="00C51D4D">
        <w:rPr>
          <w:rFonts w:ascii="Times New Roman" w:hAnsi="Times New Roman" w:cs="Times New Roman"/>
          <w:noProof/>
        </w:rPr>
        <w:t>. https://doi.org/10.2499/9780896299948</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Sankar, M. J., Sinha, B., Chowdhury, R., Bhandari, N., Taneja, S., Martines, J., &amp; Bahl, R. (2015). Optimal breastfeeding practices and infant and child mortality : a systematic review and meta-analysis, 3–13. https://doi.org/10.1111/apa.13147</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Security, C. F. (2016). Comprehensive Food Security and Vulnerability Analysis (CFSVA) Kenya 2016.</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Stevens, G. A., Bennett, J. E., Hennocq, Q., Lu, Y., De-regil, L. M., Rogers, L., … Li, G. (2015). Trends and mortality eff ects of vitamin A defi ciency in children in 138 low-income and middle-income countries between 1991 and 2013 : a pooled analysis of population-based surveys, 528–536. https://doi.org/10.1016/S2214-109X(15)00039-X</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Steyn, N. P., Nel, J. H., Nantel, G., Kennedy, G., &amp; Labadarios, D. (2017). Food variety and dietary diversity scores in children : are they good indicators of dietary adequacy ?, </w:t>
      </w:r>
      <w:r w:rsidRPr="00C51D4D">
        <w:rPr>
          <w:rFonts w:ascii="Times New Roman" w:hAnsi="Times New Roman" w:cs="Times New Roman"/>
          <w:i/>
          <w:iCs/>
          <w:noProof/>
        </w:rPr>
        <w:t>9</w:t>
      </w:r>
      <w:r w:rsidRPr="00C51D4D">
        <w:rPr>
          <w:rFonts w:ascii="Times New Roman" w:hAnsi="Times New Roman" w:cs="Times New Roman"/>
          <w:noProof/>
        </w:rPr>
        <w:t>(May), 644–650. https://doi.org/10.1079/PHN2005912</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Survey, H., &amp; Indicators, K. (2014). Kenya.</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United Nations Children’s Fund (UNICEF) World Health Organization, &amp; International Bank for Reconstruction and Development/The World Bank. (2018). Levels and trends in child malnutrition: key findings of the 2018 Edition of the Joint Child Malnutrition Estimates, 1–16. https://doi.org/10.1016/S0266-6138(96)90067-4</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Victora, C. G., Adair, L., Fall, C., Hallal, P. C., Martorell, R., Richter, L., &amp; Sachdev, H. S. (2008). Maternal and child undernutrition: consequences for adult health and human capital. </w:t>
      </w:r>
      <w:r w:rsidRPr="00C51D4D">
        <w:rPr>
          <w:rFonts w:ascii="Times New Roman" w:hAnsi="Times New Roman" w:cs="Times New Roman"/>
          <w:i/>
          <w:iCs/>
          <w:noProof/>
        </w:rPr>
        <w:t>The Lancet</w:t>
      </w:r>
      <w:r w:rsidRPr="00C51D4D">
        <w:rPr>
          <w:rFonts w:ascii="Times New Roman" w:hAnsi="Times New Roman" w:cs="Times New Roman"/>
          <w:noProof/>
        </w:rPr>
        <w:t xml:space="preserve">, </w:t>
      </w:r>
      <w:r w:rsidRPr="00C51D4D">
        <w:rPr>
          <w:rFonts w:ascii="Times New Roman" w:hAnsi="Times New Roman" w:cs="Times New Roman"/>
          <w:i/>
          <w:iCs/>
          <w:noProof/>
        </w:rPr>
        <w:t>371</w:t>
      </w:r>
      <w:r w:rsidRPr="00C51D4D">
        <w:rPr>
          <w:rFonts w:ascii="Times New Roman" w:hAnsi="Times New Roman" w:cs="Times New Roman"/>
          <w:noProof/>
        </w:rPr>
        <w:t>(9609), 340–357. https://doi.org/10.1016/S0140-6736(07)61692-4</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Victora, C. G., de Onis, M., Hallal, P. C., Blossner, M., &amp; Shrimpton, R. (2010). Worldwide Timing of Growth Faltering: Revisiting Implications for Interventions. </w:t>
      </w:r>
      <w:r w:rsidRPr="00C51D4D">
        <w:rPr>
          <w:rFonts w:ascii="Times New Roman" w:hAnsi="Times New Roman" w:cs="Times New Roman"/>
          <w:i/>
          <w:iCs/>
          <w:noProof/>
        </w:rPr>
        <w:t>Pediatrics</w:t>
      </w:r>
      <w:r w:rsidRPr="00C51D4D">
        <w:rPr>
          <w:rFonts w:ascii="Times New Roman" w:hAnsi="Times New Roman" w:cs="Times New Roman"/>
          <w:noProof/>
        </w:rPr>
        <w:t xml:space="preserve">, </w:t>
      </w:r>
      <w:r w:rsidRPr="00C51D4D">
        <w:rPr>
          <w:rFonts w:ascii="Times New Roman" w:hAnsi="Times New Roman" w:cs="Times New Roman"/>
          <w:i/>
          <w:iCs/>
          <w:noProof/>
        </w:rPr>
        <w:t>125</w:t>
      </w:r>
      <w:r w:rsidRPr="00C51D4D">
        <w:rPr>
          <w:rFonts w:ascii="Times New Roman" w:hAnsi="Times New Roman" w:cs="Times New Roman"/>
          <w:noProof/>
        </w:rPr>
        <w:t>(3), e473–e480. https://doi.org/10.1542/peds.2009-1519</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Walingo, M. K., &amp; Sewe, T. (2015). Protein-Energy Malnutrition Still Exists in Kenya in the Twenty-First Century, </w:t>
      </w:r>
      <w:r w:rsidRPr="00C51D4D">
        <w:rPr>
          <w:rFonts w:ascii="Times New Roman" w:hAnsi="Times New Roman" w:cs="Times New Roman"/>
          <w:i/>
          <w:iCs/>
          <w:noProof/>
        </w:rPr>
        <w:t>14</w:t>
      </w:r>
      <w:r w:rsidRPr="00C51D4D">
        <w:rPr>
          <w:rFonts w:ascii="Times New Roman" w:hAnsi="Times New Roman" w:cs="Times New Roman"/>
          <w:noProof/>
        </w:rPr>
        <w:t>(9), 614–619.</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Walker, W. A., &amp; Walker, W. A. (2013). FOCUS A diverse balanced microbiota is necessary for the development of an appropriate Initial Intestinal Colonization in the Human Infant and Immune Initial Intestinal Colonization in the Human Infant and Immune Homeostasis, </w:t>
      </w:r>
      <w:r w:rsidRPr="00C51D4D">
        <w:rPr>
          <w:rFonts w:ascii="Times New Roman" w:hAnsi="Times New Roman" w:cs="Times New Roman"/>
          <w:i/>
          <w:iCs/>
          <w:noProof/>
        </w:rPr>
        <w:t>63</w:t>
      </w:r>
      <w:r w:rsidRPr="00C51D4D">
        <w:rPr>
          <w:rFonts w:ascii="Times New Roman" w:hAnsi="Times New Roman" w:cs="Times New Roman"/>
          <w:noProof/>
        </w:rPr>
        <w:t>(suppl 2), 8–15. https://doi.org/10.1159/000354907</w:t>
      </w:r>
    </w:p>
    <w:p w:rsidR="00DB7DB4" w:rsidRPr="00C51D4D" w:rsidRDefault="00A379D1"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WHO Child Growth Standards. (2006</w:t>
      </w:r>
      <w:r w:rsidR="00DB7DB4" w:rsidRPr="00C51D4D">
        <w:rPr>
          <w:rFonts w:ascii="Times New Roman" w:hAnsi="Times New Roman" w:cs="Times New Roman"/>
          <w:noProof/>
        </w:rPr>
        <w:t>).</w:t>
      </w:r>
    </w:p>
    <w:p w:rsidR="00DB7DB4" w:rsidRPr="00C51D4D" w:rsidRDefault="00DB7DB4" w:rsidP="00C51D4D">
      <w:pPr>
        <w:widowControl w:val="0"/>
        <w:autoSpaceDE w:val="0"/>
        <w:autoSpaceDN w:val="0"/>
        <w:adjustRightInd w:val="0"/>
        <w:spacing w:after="0" w:line="240" w:lineRule="auto"/>
        <w:ind w:left="480" w:hanging="480"/>
        <w:jc w:val="both"/>
        <w:rPr>
          <w:rFonts w:ascii="Times New Roman" w:hAnsi="Times New Roman" w:cs="Times New Roman"/>
          <w:noProof/>
        </w:rPr>
      </w:pPr>
      <w:r w:rsidRPr="00C51D4D">
        <w:rPr>
          <w:rFonts w:ascii="Times New Roman" w:hAnsi="Times New Roman" w:cs="Times New Roman"/>
          <w:noProof/>
        </w:rPr>
        <w:t xml:space="preserve">Yaméogo, C. W., Cichon, B., Fabiansen, C., Rytter, M. J. H., Faurholt-Jepsen, D., Stark, K. D., … Lauritzen, L. (2017). Correlates of whole-blood polyunsaturated fatty acids among young children with moderate acute malnutrition. </w:t>
      </w:r>
      <w:r w:rsidRPr="00C51D4D">
        <w:rPr>
          <w:rFonts w:ascii="Times New Roman" w:hAnsi="Times New Roman" w:cs="Times New Roman"/>
          <w:i/>
          <w:iCs/>
          <w:noProof/>
        </w:rPr>
        <w:t>Nutrition Journal</w:t>
      </w:r>
      <w:r w:rsidRPr="00C51D4D">
        <w:rPr>
          <w:rFonts w:ascii="Times New Roman" w:hAnsi="Times New Roman" w:cs="Times New Roman"/>
          <w:noProof/>
        </w:rPr>
        <w:t xml:space="preserve">, </w:t>
      </w:r>
      <w:r w:rsidRPr="00C51D4D">
        <w:rPr>
          <w:rFonts w:ascii="Times New Roman" w:hAnsi="Times New Roman" w:cs="Times New Roman"/>
          <w:i/>
          <w:iCs/>
          <w:noProof/>
        </w:rPr>
        <w:t>16</w:t>
      </w:r>
      <w:r w:rsidRPr="00C51D4D">
        <w:rPr>
          <w:rFonts w:ascii="Times New Roman" w:hAnsi="Times New Roman" w:cs="Times New Roman"/>
          <w:noProof/>
        </w:rPr>
        <w:t>(1), 44. https://doi.org/10.1186/s12937-017-0264-3</w:t>
      </w:r>
    </w:p>
    <w:p w:rsidR="00A379D1" w:rsidRPr="00C51D4D" w:rsidRDefault="00047CA2" w:rsidP="00C51D4D">
      <w:pPr>
        <w:widowControl w:val="0"/>
        <w:autoSpaceDE w:val="0"/>
        <w:autoSpaceDN w:val="0"/>
        <w:adjustRightInd w:val="0"/>
        <w:spacing w:after="0" w:line="240" w:lineRule="auto"/>
        <w:ind w:left="480" w:hanging="480"/>
        <w:jc w:val="both"/>
        <w:rPr>
          <w:rFonts w:ascii="Times New Roman" w:hAnsi="Times New Roman" w:cs="Times New Roman"/>
        </w:rPr>
      </w:pPr>
      <w:r w:rsidRPr="00C51D4D">
        <w:rPr>
          <w:rFonts w:ascii="Times New Roman" w:hAnsi="Times New Roman" w:cs="Times New Roman"/>
        </w:rPr>
        <w:fldChar w:fldCharType="end"/>
      </w:r>
      <w:r w:rsidR="00A379D1" w:rsidRPr="00C51D4D">
        <w:rPr>
          <w:rFonts w:ascii="Times New Roman" w:hAnsi="Times New Roman" w:cs="Times New Roman"/>
        </w:rPr>
        <w:t xml:space="preserve"> </w:t>
      </w:r>
    </w:p>
    <w:p w:rsidR="00047CA2" w:rsidRPr="00C51D4D" w:rsidRDefault="00047CA2" w:rsidP="00C51D4D">
      <w:pPr>
        <w:widowControl w:val="0"/>
        <w:autoSpaceDE w:val="0"/>
        <w:autoSpaceDN w:val="0"/>
        <w:adjustRightInd w:val="0"/>
        <w:spacing w:after="0" w:line="240" w:lineRule="auto"/>
        <w:ind w:left="480" w:hanging="480"/>
        <w:jc w:val="both"/>
        <w:rPr>
          <w:rFonts w:ascii="Times New Roman" w:hAnsi="Times New Roman" w:cs="Times New Roman"/>
        </w:rPr>
      </w:pPr>
    </w:p>
    <w:sectPr w:rsidR="00047CA2" w:rsidRPr="00C51D4D" w:rsidSect="001A0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useFELayout/>
    <w:compatSetting w:name="compatibilityMode" w:uri="http://schemas.microsoft.com/office/word" w:val="12"/>
  </w:compat>
  <w:rsids>
    <w:rsidRoot w:val="0086220E"/>
    <w:rsid w:val="00016F11"/>
    <w:rsid w:val="00047CA2"/>
    <w:rsid w:val="000556B0"/>
    <w:rsid w:val="000A73E1"/>
    <w:rsid w:val="000D229D"/>
    <w:rsid w:val="00150093"/>
    <w:rsid w:val="00150D32"/>
    <w:rsid w:val="001A0FB3"/>
    <w:rsid w:val="001B0281"/>
    <w:rsid w:val="00266B58"/>
    <w:rsid w:val="002844E0"/>
    <w:rsid w:val="00284E46"/>
    <w:rsid w:val="002962FB"/>
    <w:rsid w:val="002B4653"/>
    <w:rsid w:val="002B5F64"/>
    <w:rsid w:val="003074D1"/>
    <w:rsid w:val="00321F29"/>
    <w:rsid w:val="00335BE4"/>
    <w:rsid w:val="0034081F"/>
    <w:rsid w:val="003F21E3"/>
    <w:rsid w:val="00413AC2"/>
    <w:rsid w:val="004C6E42"/>
    <w:rsid w:val="004E3660"/>
    <w:rsid w:val="004E5A1B"/>
    <w:rsid w:val="004F0381"/>
    <w:rsid w:val="005124E1"/>
    <w:rsid w:val="00567B00"/>
    <w:rsid w:val="005C119E"/>
    <w:rsid w:val="005D5CF5"/>
    <w:rsid w:val="0060279D"/>
    <w:rsid w:val="00603854"/>
    <w:rsid w:val="00635433"/>
    <w:rsid w:val="00667690"/>
    <w:rsid w:val="006715B8"/>
    <w:rsid w:val="00683106"/>
    <w:rsid w:val="00700E8F"/>
    <w:rsid w:val="007029CE"/>
    <w:rsid w:val="00711048"/>
    <w:rsid w:val="00717F20"/>
    <w:rsid w:val="007467D1"/>
    <w:rsid w:val="007758DD"/>
    <w:rsid w:val="007928D4"/>
    <w:rsid w:val="007A4DC1"/>
    <w:rsid w:val="007F76D9"/>
    <w:rsid w:val="00806667"/>
    <w:rsid w:val="0086220E"/>
    <w:rsid w:val="0092209C"/>
    <w:rsid w:val="00932B23"/>
    <w:rsid w:val="00977C5A"/>
    <w:rsid w:val="009E4D58"/>
    <w:rsid w:val="00A379D1"/>
    <w:rsid w:val="00A8244B"/>
    <w:rsid w:val="00AB6CF3"/>
    <w:rsid w:val="00AE7602"/>
    <w:rsid w:val="00B544AC"/>
    <w:rsid w:val="00B8209F"/>
    <w:rsid w:val="00B84E59"/>
    <w:rsid w:val="00B92C4D"/>
    <w:rsid w:val="00C40A7A"/>
    <w:rsid w:val="00C51D4D"/>
    <w:rsid w:val="00C73F27"/>
    <w:rsid w:val="00CA7ECF"/>
    <w:rsid w:val="00CC3113"/>
    <w:rsid w:val="00CF3CF3"/>
    <w:rsid w:val="00D073AA"/>
    <w:rsid w:val="00D976C7"/>
    <w:rsid w:val="00D97967"/>
    <w:rsid w:val="00DA4D1F"/>
    <w:rsid w:val="00DB18B7"/>
    <w:rsid w:val="00DB7DB4"/>
    <w:rsid w:val="00E14046"/>
    <w:rsid w:val="00E24B09"/>
    <w:rsid w:val="00E815B3"/>
    <w:rsid w:val="00EB3878"/>
    <w:rsid w:val="00F446B6"/>
    <w:rsid w:val="00F77FF3"/>
    <w:rsid w:val="00FA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9F5B9-AF3A-4A38-ACD5-429E051F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FB3"/>
  </w:style>
  <w:style w:type="paragraph" w:styleId="Heading1">
    <w:name w:val="heading 1"/>
    <w:basedOn w:val="Normal"/>
    <w:next w:val="Normal"/>
    <w:link w:val="Heading1Char"/>
    <w:uiPriority w:val="9"/>
    <w:qFormat/>
    <w:rsid w:val="001B02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B02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32B23"/>
    <w:pPr>
      <w:keepNext/>
      <w:keepLines/>
      <w:spacing w:before="200" w:after="0"/>
      <w:outlineLvl w:val="2"/>
    </w:pPr>
    <w:rPr>
      <w:rFonts w:asciiTheme="majorHAnsi" w:eastAsiaTheme="majorEastAsia" w:hAnsiTheme="majorHAnsi" w:cstheme="majorBidi"/>
      <w:b/>
      <w:bCs/>
      <w:color w:val="4F81BD" w:themeColor="accent1"/>
      <w:lang w:val="en-GB"/>
    </w:rPr>
  </w:style>
  <w:style w:type="paragraph" w:styleId="Heading4">
    <w:name w:val="heading 4"/>
    <w:basedOn w:val="Normal"/>
    <w:next w:val="Normal"/>
    <w:link w:val="Heading4Char"/>
    <w:uiPriority w:val="9"/>
    <w:unhideWhenUsed/>
    <w:qFormat/>
    <w:rsid w:val="00932B23"/>
    <w:pPr>
      <w:keepNext/>
      <w:keepLines/>
      <w:spacing w:before="200" w:after="0"/>
      <w:outlineLvl w:val="3"/>
    </w:pPr>
    <w:rPr>
      <w:rFonts w:asciiTheme="majorHAnsi" w:eastAsiaTheme="majorEastAsia" w:hAnsiTheme="majorHAnsi" w:cstheme="majorBidi"/>
      <w:b/>
      <w:bCs/>
      <w:i/>
      <w:i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2B23"/>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932B23"/>
    <w:rPr>
      <w:rFonts w:asciiTheme="majorHAnsi" w:eastAsiaTheme="majorEastAsia" w:hAnsiTheme="majorHAnsi" w:cstheme="majorBidi"/>
      <w:b/>
      <w:bCs/>
      <w:i/>
      <w:iCs/>
      <w:color w:val="4F81BD" w:themeColor="accent1"/>
      <w:lang w:val="en-GB"/>
    </w:rPr>
  </w:style>
  <w:style w:type="table" w:styleId="TableGrid">
    <w:name w:val="Table Grid"/>
    <w:basedOn w:val="TableNormal"/>
    <w:uiPriority w:val="59"/>
    <w:rsid w:val="00932B23"/>
    <w:pPr>
      <w:spacing w:after="0" w:line="240" w:lineRule="auto"/>
    </w:pPr>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2B23"/>
    <w:pPr>
      <w:ind w:left="720"/>
      <w:contextualSpacing/>
    </w:pPr>
    <w:rPr>
      <w:rFonts w:eastAsiaTheme="minorHAnsi"/>
      <w:lang w:val="en-GB"/>
    </w:rPr>
  </w:style>
  <w:style w:type="character" w:customStyle="1" w:styleId="Heading1Char">
    <w:name w:val="Heading 1 Char"/>
    <w:basedOn w:val="DefaultParagraphFont"/>
    <w:link w:val="Heading1"/>
    <w:uiPriority w:val="9"/>
    <w:rsid w:val="001B02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B028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E36B-F1AC-4166-B1AB-2DD1D5EB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10582</TotalTime>
  <Pages>13</Pages>
  <Words>14700</Words>
  <Characters>83795</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2019-08-07T07:04:00Z</dcterms:created>
  <dcterms:modified xsi:type="dcterms:W3CDTF">2019-08-26T16:03:00Z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496b9922-b420-38d7-abdd-3cea57c118af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