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2FF" w:rsidRDefault="00C322FF">
      <w:pPr>
        <w:spacing w:line="200" w:lineRule="exact"/>
        <w:rPr>
          <w:sz w:val="24"/>
          <w:szCs w:val="24"/>
        </w:rPr>
      </w:pPr>
    </w:p>
    <w:p w:rsidR="00C322FF" w:rsidRDefault="00C322FF">
      <w:pPr>
        <w:spacing w:line="200" w:lineRule="exact"/>
        <w:rPr>
          <w:sz w:val="24"/>
          <w:szCs w:val="24"/>
        </w:rPr>
      </w:pPr>
    </w:p>
    <w:p w:rsidR="00C322FF" w:rsidRDefault="00C322FF">
      <w:pPr>
        <w:spacing w:line="200" w:lineRule="exact"/>
        <w:rPr>
          <w:sz w:val="24"/>
          <w:szCs w:val="24"/>
        </w:rPr>
      </w:pPr>
    </w:p>
    <w:p w:rsidR="00C322FF" w:rsidRDefault="00C322FF">
      <w:pPr>
        <w:spacing w:line="200" w:lineRule="exact"/>
        <w:rPr>
          <w:sz w:val="24"/>
          <w:szCs w:val="24"/>
        </w:rPr>
      </w:pPr>
    </w:p>
    <w:p w:rsidR="00C322FF" w:rsidRDefault="00C322FF">
      <w:pPr>
        <w:spacing w:line="314" w:lineRule="exact"/>
        <w:rPr>
          <w:sz w:val="24"/>
          <w:szCs w:val="24"/>
        </w:rPr>
      </w:pPr>
    </w:p>
    <w:p w:rsidR="00495366" w:rsidRPr="00D77398" w:rsidRDefault="00495366" w:rsidP="00495366">
      <w:pPr>
        <w:spacing w:line="480" w:lineRule="auto"/>
        <w:ind w:right="51"/>
        <w:jc w:val="center"/>
        <w:rPr>
          <w:b/>
          <w:sz w:val="24"/>
          <w:szCs w:val="24"/>
        </w:rPr>
      </w:pPr>
      <w:r w:rsidRPr="00D77398">
        <w:rPr>
          <w:b/>
          <w:sz w:val="24"/>
          <w:szCs w:val="24"/>
        </w:rPr>
        <w:t>D</w:t>
      </w:r>
      <w:r w:rsidR="002518B9" w:rsidRPr="00D77398">
        <w:rPr>
          <w:b/>
          <w:sz w:val="24"/>
          <w:szCs w:val="24"/>
        </w:rPr>
        <w:t>ietary</w:t>
      </w:r>
      <w:r w:rsidRPr="00D77398">
        <w:rPr>
          <w:b/>
          <w:sz w:val="24"/>
          <w:szCs w:val="24"/>
        </w:rPr>
        <w:t xml:space="preserve"> P</w:t>
      </w:r>
      <w:r w:rsidR="002518B9" w:rsidRPr="00D77398">
        <w:rPr>
          <w:b/>
          <w:sz w:val="24"/>
          <w:szCs w:val="24"/>
        </w:rPr>
        <w:t>ractices</w:t>
      </w:r>
      <w:r w:rsidRPr="00D77398">
        <w:rPr>
          <w:b/>
          <w:sz w:val="24"/>
          <w:szCs w:val="24"/>
        </w:rPr>
        <w:t>, H</w:t>
      </w:r>
      <w:r w:rsidR="002518B9" w:rsidRPr="00D77398">
        <w:rPr>
          <w:b/>
          <w:sz w:val="24"/>
          <w:szCs w:val="24"/>
        </w:rPr>
        <w:t>ealth</w:t>
      </w:r>
      <w:r w:rsidRPr="00D77398">
        <w:rPr>
          <w:b/>
          <w:sz w:val="24"/>
          <w:szCs w:val="24"/>
        </w:rPr>
        <w:t xml:space="preserve"> </w:t>
      </w:r>
      <w:r w:rsidR="002518B9" w:rsidRPr="00D77398">
        <w:rPr>
          <w:b/>
          <w:sz w:val="24"/>
          <w:szCs w:val="24"/>
        </w:rPr>
        <w:t>and</w:t>
      </w:r>
      <w:r w:rsidRPr="00D77398">
        <w:rPr>
          <w:b/>
          <w:sz w:val="24"/>
          <w:szCs w:val="24"/>
        </w:rPr>
        <w:t xml:space="preserve"> N</w:t>
      </w:r>
      <w:r w:rsidR="002518B9" w:rsidRPr="00D77398">
        <w:rPr>
          <w:b/>
          <w:sz w:val="24"/>
          <w:szCs w:val="24"/>
        </w:rPr>
        <w:t>utrition</w:t>
      </w:r>
      <w:r w:rsidRPr="00D77398">
        <w:rPr>
          <w:b/>
          <w:sz w:val="24"/>
          <w:szCs w:val="24"/>
        </w:rPr>
        <w:t xml:space="preserve"> S</w:t>
      </w:r>
      <w:r w:rsidR="002518B9" w:rsidRPr="00D77398">
        <w:rPr>
          <w:b/>
          <w:sz w:val="24"/>
          <w:szCs w:val="24"/>
        </w:rPr>
        <w:t>tatus</w:t>
      </w:r>
      <w:r w:rsidR="002518B9">
        <w:rPr>
          <w:b/>
          <w:sz w:val="24"/>
          <w:szCs w:val="24"/>
        </w:rPr>
        <w:t xml:space="preserve"> Of Infants Born </w:t>
      </w:r>
      <w:r w:rsidR="00A77A8B">
        <w:rPr>
          <w:b/>
          <w:sz w:val="24"/>
          <w:szCs w:val="24"/>
        </w:rPr>
        <w:t>T</w:t>
      </w:r>
      <w:r w:rsidR="002518B9">
        <w:rPr>
          <w:b/>
          <w:sz w:val="24"/>
          <w:szCs w:val="24"/>
        </w:rPr>
        <w:t>o Ado</w:t>
      </w:r>
      <w:r w:rsidR="00A77A8B">
        <w:rPr>
          <w:b/>
          <w:sz w:val="24"/>
          <w:szCs w:val="24"/>
        </w:rPr>
        <w:t>lescent Mothers I</w:t>
      </w:r>
      <w:r w:rsidR="002518B9">
        <w:rPr>
          <w:b/>
          <w:sz w:val="24"/>
          <w:szCs w:val="24"/>
        </w:rPr>
        <w:t>n Transmara West, Narok County</w:t>
      </w:r>
      <w:r w:rsidRPr="00D77398">
        <w:rPr>
          <w:b/>
          <w:sz w:val="24"/>
          <w:szCs w:val="24"/>
        </w:rPr>
        <w:t>,</w:t>
      </w:r>
      <w:r>
        <w:rPr>
          <w:b/>
          <w:sz w:val="24"/>
          <w:szCs w:val="24"/>
        </w:rPr>
        <w:t xml:space="preserve"> </w:t>
      </w:r>
      <w:r w:rsidR="002518B9">
        <w:rPr>
          <w:b/>
          <w:sz w:val="24"/>
          <w:szCs w:val="24"/>
        </w:rPr>
        <w:t>Kenya</w:t>
      </w:r>
    </w:p>
    <w:p w:rsidR="00C322FF" w:rsidRDefault="00C322FF">
      <w:pPr>
        <w:spacing w:line="276" w:lineRule="exact"/>
        <w:rPr>
          <w:sz w:val="24"/>
          <w:szCs w:val="24"/>
        </w:rPr>
      </w:pPr>
    </w:p>
    <w:p w:rsidR="00C322FF" w:rsidRDefault="00495366">
      <w:pPr>
        <w:ind w:left="3480"/>
        <w:rPr>
          <w:sz w:val="20"/>
          <w:szCs w:val="20"/>
        </w:rPr>
      </w:pPr>
      <w:r>
        <w:rPr>
          <w:rFonts w:ascii="Arial" w:eastAsia="Arial" w:hAnsi="Arial" w:cs="Arial"/>
          <w:sz w:val="24"/>
          <w:szCs w:val="24"/>
        </w:rPr>
        <w:t>Brigid C. KOTUT</w:t>
      </w:r>
    </w:p>
    <w:p w:rsidR="00C322FF" w:rsidRDefault="00B77746">
      <w:pPr>
        <w:ind w:left="1300"/>
        <w:rPr>
          <w:sz w:val="20"/>
          <w:szCs w:val="20"/>
        </w:rPr>
      </w:pPr>
      <w:r>
        <w:rPr>
          <w:rFonts w:ascii="Arial" w:eastAsia="Arial" w:hAnsi="Arial" w:cs="Arial"/>
          <w:i/>
          <w:iCs/>
          <w:sz w:val="24"/>
          <w:szCs w:val="24"/>
        </w:rPr>
        <w:t xml:space="preserve">Kabarak University, </w:t>
      </w:r>
      <w:r>
        <w:rPr>
          <w:rFonts w:ascii="Arial" w:eastAsia="Arial" w:hAnsi="Arial" w:cs="Arial"/>
          <w:i/>
          <w:iCs/>
          <w:sz w:val="24"/>
          <w:szCs w:val="24"/>
        </w:rPr>
        <w:t>P.O. Box Private Bag, Kabarak, 20157, Kenya</w:t>
      </w:r>
    </w:p>
    <w:p w:rsidR="00C322FF" w:rsidRDefault="00495366">
      <w:pPr>
        <w:ind w:left="1680"/>
        <w:rPr>
          <w:sz w:val="20"/>
          <w:szCs w:val="20"/>
        </w:rPr>
      </w:pPr>
      <w:r>
        <w:rPr>
          <w:rFonts w:ascii="Arial" w:eastAsia="Arial" w:hAnsi="Arial" w:cs="Arial"/>
          <w:i/>
          <w:iCs/>
          <w:sz w:val="24"/>
          <w:szCs w:val="24"/>
        </w:rPr>
        <w:t>Tel: +254 722 931 115</w:t>
      </w:r>
      <w:r w:rsidR="0050404F">
        <w:rPr>
          <w:rFonts w:ascii="Arial" w:eastAsia="Arial" w:hAnsi="Arial" w:cs="Arial"/>
          <w:i/>
          <w:iCs/>
          <w:sz w:val="24"/>
          <w:szCs w:val="24"/>
        </w:rPr>
        <w:t>, Email: briechebet</w:t>
      </w:r>
      <w:r w:rsidR="00B77746">
        <w:rPr>
          <w:rFonts w:ascii="Arial" w:eastAsia="Arial" w:hAnsi="Arial" w:cs="Arial"/>
          <w:i/>
          <w:iCs/>
          <w:sz w:val="24"/>
          <w:szCs w:val="24"/>
        </w:rPr>
        <w:t>@gmail.com</w:t>
      </w:r>
    </w:p>
    <w:p w:rsidR="00C322FF" w:rsidRDefault="00C322FF">
      <w:pPr>
        <w:spacing w:line="276" w:lineRule="exact"/>
        <w:rPr>
          <w:sz w:val="24"/>
          <w:szCs w:val="24"/>
        </w:rPr>
      </w:pPr>
    </w:p>
    <w:p w:rsidR="00C322FF" w:rsidRDefault="0050404F">
      <w:pPr>
        <w:ind w:left="3540"/>
        <w:rPr>
          <w:sz w:val="20"/>
          <w:szCs w:val="20"/>
        </w:rPr>
      </w:pPr>
      <w:r>
        <w:rPr>
          <w:rFonts w:ascii="Arial" w:eastAsia="Arial" w:hAnsi="Arial" w:cs="Arial"/>
          <w:sz w:val="24"/>
          <w:szCs w:val="24"/>
        </w:rPr>
        <w:t>Wesley</w:t>
      </w:r>
      <w:r w:rsidR="00B77746">
        <w:rPr>
          <w:rFonts w:ascii="Arial" w:eastAsia="Arial" w:hAnsi="Arial" w:cs="Arial"/>
          <w:sz w:val="24"/>
          <w:szCs w:val="24"/>
        </w:rPr>
        <w:t xml:space="preserve"> </w:t>
      </w:r>
      <w:r>
        <w:rPr>
          <w:rFonts w:ascii="Arial" w:eastAsia="Arial" w:hAnsi="Arial" w:cs="Arial"/>
          <w:sz w:val="24"/>
          <w:szCs w:val="24"/>
        </w:rPr>
        <w:t>BOR</w:t>
      </w:r>
    </w:p>
    <w:p w:rsidR="0050404F" w:rsidRDefault="0050404F" w:rsidP="0050404F">
      <w:pPr>
        <w:ind w:left="1300"/>
        <w:rPr>
          <w:sz w:val="20"/>
          <w:szCs w:val="20"/>
        </w:rPr>
      </w:pPr>
      <w:r>
        <w:rPr>
          <w:rFonts w:ascii="Arial" w:eastAsia="Arial" w:hAnsi="Arial" w:cs="Arial"/>
          <w:i/>
          <w:iCs/>
          <w:sz w:val="24"/>
          <w:szCs w:val="24"/>
        </w:rPr>
        <w:t>Kabarak University, P.O. Box Private Bag, Kabarak, 20157, Kenya</w:t>
      </w:r>
    </w:p>
    <w:p w:rsidR="00C322FF" w:rsidRDefault="0050404F">
      <w:pPr>
        <w:ind w:left="1900"/>
        <w:rPr>
          <w:sz w:val="20"/>
          <w:szCs w:val="20"/>
        </w:rPr>
      </w:pPr>
      <w:r>
        <w:rPr>
          <w:rFonts w:ascii="Arial" w:eastAsia="Arial" w:hAnsi="Arial" w:cs="Arial"/>
          <w:i/>
          <w:iCs/>
          <w:sz w:val="24"/>
          <w:szCs w:val="24"/>
        </w:rPr>
        <w:t>Tel: +254 716 555 520</w:t>
      </w:r>
      <w:r w:rsidR="00B77746">
        <w:rPr>
          <w:rFonts w:ascii="Arial" w:eastAsia="Arial" w:hAnsi="Arial" w:cs="Arial"/>
          <w:i/>
          <w:iCs/>
          <w:sz w:val="24"/>
          <w:szCs w:val="24"/>
        </w:rPr>
        <w:t xml:space="preserve">, Email: </w:t>
      </w:r>
      <w:r>
        <w:rPr>
          <w:rFonts w:ascii="Arial" w:eastAsia="Arial" w:hAnsi="Arial" w:cs="Arial"/>
          <w:i/>
          <w:iCs/>
          <w:sz w:val="24"/>
          <w:szCs w:val="24"/>
        </w:rPr>
        <w:t>wbor@kabarak.ac.ke</w:t>
      </w:r>
    </w:p>
    <w:p w:rsidR="00C322FF" w:rsidRDefault="00C322FF">
      <w:pPr>
        <w:spacing w:line="276" w:lineRule="exact"/>
        <w:rPr>
          <w:sz w:val="24"/>
          <w:szCs w:val="24"/>
        </w:rPr>
      </w:pPr>
    </w:p>
    <w:p w:rsidR="00C322FF" w:rsidRDefault="0050404F">
      <w:pPr>
        <w:ind w:right="-119"/>
        <w:jc w:val="center"/>
        <w:rPr>
          <w:sz w:val="20"/>
          <w:szCs w:val="20"/>
        </w:rPr>
      </w:pPr>
      <w:r>
        <w:rPr>
          <w:rFonts w:ascii="Arial" w:eastAsia="Arial" w:hAnsi="Arial" w:cs="Arial"/>
          <w:sz w:val="24"/>
          <w:szCs w:val="24"/>
        </w:rPr>
        <w:t>Jane</w:t>
      </w:r>
      <w:r w:rsidR="00B77746">
        <w:rPr>
          <w:rFonts w:ascii="Arial" w:eastAsia="Arial" w:hAnsi="Arial" w:cs="Arial"/>
          <w:sz w:val="24"/>
          <w:szCs w:val="24"/>
        </w:rPr>
        <w:t xml:space="preserve"> </w:t>
      </w:r>
      <w:r>
        <w:rPr>
          <w:rFonts w:ascii="Arial" w:eastAsia="Arial" w:hAnsi="Arial" w:cs="Arial"/>
          <w:sz w:val="24"/>
          <w:szCs w:val="24"/>
        </w:rPr>
        <w:t>SITUMA</w:t>
      </w:r>
    </w:p>
    <w:p w:rsidR="00C322FF" w:rsidRDefault="0061678D">
      <w:pPr>
        <w:ind w:right="-99"/>
        <w:jc w:val="center"/>
        <w:rPr>
          <w:sz w:val="20"/>
          <w:szCs w:val="20"/>
        </w:rPr>
      </w:pPr>
      <w:r>
        <w:rPr>
          <w:rFonts w:ascii="Arial" w:eastAsia="Arial" w:hAnsi="Arial" w:cs="Arial"/>
          <w:i/>
          <w:iCs/>
          <w:sz w:val="24"/>
          <w:szCs w:val="24"/>
        </w:rPr>
        <w:t>Masinde Muliro</w:t>
      </w:r>
      <w:r w:rsidR="00B77746">
        <w:rPr>
          <w:rFonts w:ascii="Arial" w:eastAsia="Arial" w:hAnsi="Arial" w:cs="Arial"/>
          <w:i/>
          <w:iCs/>
          <w:sz w:val="24"/>
          <w:szCs w:val="24"/>
        </w:rPr>
        <w:t xml:space="preserve"> Universit</w:t>
      </w:r>
      <w:r w:rsidR="00B77746">
        <w:rPr>
          <w:rFonts w:ascii="Arial" w:eastAsia="Arial" w:hAnsi="Arial" w:cs="Arial"/>
          <w:i/>
          <w:iCs/>
          <w:sz w:val="24"/>
          <w:szCs w:val="24"/>
        </w:rPr>
        <w:t>y</w:t>
      </w:r>
      <w:r>
        <w:rPr>
          <w:rFonts w:ascii="Arial" w:eastAsia="Arial" w:hAnsi="Arial" w:cs="Arial"/>
          <w:i/>
          <w:iCs/>
          <w:sz w:val="24"/>
          <w:szCs w:val="24"/>
        </w:rPr>
        <w:t xml:space="preserve"> of Science and Technology, P.O. Box 190, Kakamega, 50100</w:t>
      </w:r>
      <w:r w:rsidR="00B77746">
        <w:rPr>
          <w:rFonts w:ascii="Arial" w:eastAsia="Arial" w:hAnsi="Arial" w:cs="Arial"/>
          <w:i/>
          <w:iCs/>
          <w:sz w:val="24"/>
          <w:szCs w:val="24"/>
        </w:rPr>
        <w:t>, Kenya</w:t>
      </w:r>
    </w:p>
    <w:p w:rsidR="00C322FF" w:rsidRDefault="0050404F">
      <w:pPr>
        <w:ind w:right="-39"/>
        <w:jc w:val="center"/>
        <w:rPr>
          <w:sz w:val="20"/>
          <w:szCs w:val="20"/>
        </w:rPr>
      </w:pPr>
      <w:r>
        <w:rPr>
          <w:rFonts w:ascii="Arial" w:eastAsia="Arial" w:hAnsi="Arial" w:cs="Arial"/>
          <w:i/>
          <w:iCs/>
          <w:sz w:val="24"/>
          <w:szCs w:val="24"/>
        </w:rPr>
        <w:t>Tel: +254 713 909 737</w:t>
      </w:r>
      <w:r w:rsidR="00B77746">
        <w:rPr>
          <w:rFonts w:ascii="Arial" w:eastAsia="Arial" w:hAnsi="Arial" w:cs="Arial"/>
          <w:i/>
          <w:iCs/>
          <w:sz w:val="24"/>
          <w:szCs w:val="24"/>
        </w:rPr>
        <w:t xml:space="preserve">, Email: </w:t>
      </w:r>
      <w:r>
        <w:rPr>
          <w:rFonts w:ascii="Arial" w:eastAsia="Arial" w:hAnsi="Arial" w:cs="Arial"/>
          <w:i/>
          <w:iCs/>
          <w:sz w:val="24"/>
          <w:szCs w:val="24"/>
        </w:rPr>
        <w:t>situmajane@yahoo.com</w:t>
      </w:r>
    </w:p>
    <w:p w:rsidR="00C322FF" w:rsidRDefault="00C322FF">
      <w:pPr>
        <w:spacing w:line="200" w:lineRule="exact"/>
        <w:rPr>
          <w:sz w:val="24"/>
          <w:szCs w:val="24"/>
        </w:rPr>
      </w:pPr>
    </w:p>
    <w:p w:rsidR="00C322FF" w:rsidRDefault="00C322FF">
      <w:pPr>
        <w:spacing w:line="200" w:lineRule="exact"/>
        <w:rPr>
          <w:sz w:val="24"/>
          <w:szCs w:val="24"/>
        </w:rPr>
      </w:pPr>
    </w:p>
    <w:p w:rsidR="00C322FF" w:rsidRDefault="00C322FF">
      <w:pPr>
        <w:spacing w:line="228" w:lineRule="exact"/>
        <w:rPr>
          <w:sz w:val="24"/>
          <w:szCs w:val="24"/>
        </w:rPr>
      </w:pPr>
    </w:p>
    <w:p w:rsidR="00C322FF" w:rsidRDefault="00B77746">
      <w:pPr>
        <w:spacing w:line="272" w:lineRule="auto"/>
        <w:ind w:left="1160" w:right="1020"/>
        <w:jc w:val="both"/>
        <w:rPr>
          <w:sz w:val="20"/>
          <w:szCs w:val="20"/>
        </w:rPr>
      </w:pPr>
      <w:r>
        <w:rPr>
          <w:rFonts w:ascii="Arial" w:eastAsia="Arial" w:hAnsi="Arial" w:cs="Arial"/>
          <w:b/>
          <w:bCs/>
          <w:sz w:val="18"/>
          <w:szCs w:val="18"/>
        </w:rPr>
        <w:t>Abstract</w:t>
      </w:r>
      <w:r>
        <w:rPr>
          <w:rFonts w:ascii="Arial" w:eastAsia="Arial" w:hAnsi="Arial" w:cs="Arial"/>
          <w:sz w:val="18"/>
          <w:szCs w:val="18"/>
        </w:rPr>
        <w:t xml:space="preserve">: </w:t>
      </w:r>
      <w:r w:rsidR="0061678D" w:rsidRPr="00C603B8">
        <w:rPr>
          <w:rFonts w:ascii="Arial" w:eastAsia="Times New Roman" w:hAnsi="Arial" w:cs="Arial"/>
          <w:sz w:val="18"/>
          <w:szCs w:val="18"/>
        </w:rPr>
        <w:t xml:space="preserve">Infant and young child feeding practices contribute to the growth and development of infants as well as preventing the occurrence of common illnesses. </w:t>
      </w:r>
      <w:r w:rsidR="00C603B8" w:rsidRPr="00C603B8">
        <w:rPr>
          <w:rFonts w:ascii="Arial" w:eastAsia="Times New Roman" w:hAnsi="Arial" w:cs="Arial"/>
          <w:sz w:val="18"/>
          <w:szCs w:val="18"/>
        </w:rPr>
        <w:t xml:space="preserve">Infants </w:t>
      </w:r>
      <w:r w:rsidR="00C603B8" w:rsidRPr="00C603B8">
        <w:rPr>
          <w:rFonts w:ascii="Arial" w:eastAsia="Arial" w:hAnsi="Arial" w:cs="Arial"/>
          <w:sz w:val="18"/>
          <w:szCs w:val="18"/>
        </w:rPr>
        <w:t>of young mothers are at risk of malnutrition because they are unprepared for child care.</w:t>
      </w:r>
      <w:r w:rsidRPr="00C603B8">
        <w:rPr>
          <w:rFonts w:ascii="Arial" w:eastAsia="Arial" w:hAnsi="Arial" w:cs="Arial"/>
          <w:sz w:val="18"/>
          <w:szCs w:val="18"/>
        </w:rPr>
        <w:t xml:space="preserve"> </w:t>
      </w:r>
      <w:r w:rsidR="00C603B8" w:rsidRPr="00C603B8">
        <w:rPr>
          <w:rFonts w:ascii="Arial" w:eastAsia="Arial" w:hAnsi="Arial" w:cs="Arial"/>
          <w:sz w:val="18"/>
          <w:szCs w:val="18"/>
        </w:rPr>
        <w:t xml:space="preserve">The purpose of this study was to </w:t>
      </w:r>
      <w:r w:rsidR="00C603B8" w:rsidRPr="00C603B8">
        <w:rPr>
          <w:rFonts w:ascii="Arial" w:hAnsi="Arial" w:cs="Arial"/>
          <w:sz w:val="18"/>
          <w:szCs w:val="18"/>
        </w:rPr>
        <w:t>determine dietary practices, health and nutrition status of infants born to adolescent mothers in Transmara West, Narok County.</w:t>
      </w:r>
      <w:r w:rsidR="00C603B8" w:rsidRPr="00C603B8">
        <w:rPr>
          <w:rFonts w:ascii="Arial" w:eastAsia="Arial" w:hAnsi="Arial" w:cs="Arial"/>
          <w:sz w:val="18"/>
          <w:szCs w:val="18"/>
        </w:rPr>
        <w:t xml:space="preserve"> </w:t>
      </w:r>
      <w:r w:rsidR="00C603B8" w:rsidRPr="00C603B8">
        <w:rPr>
          <w:rFonts w:ascii="Arial" w:hAnsi="Arial" w:cs="Arial"/>
          <w:sz w:val="18"/>
          <w:szCs w:val="18"/>
        </w:rPr>
        <w:t>A descriptive cross-sectional study design was adopted</w:t>
      </w:r>
      <w:r w:rsidR="00C603B8" w:rsidRPr="00C603B8">
        <w:rPr>
          <w:rFonts w:ascii="Arial" w:eastAsia="Arial" w:hAnsi="Arial" w:cs="Arial"/>
          <w:sz w:val="18"/>
          <w:szCs w:val="18"/>
        </w:rPr>
        <w:t>. The research questions were answered by enrolling adolescent mothers in the selected health facilities. Most of the adolescent mothers were young between the ages of 16 to 17 years. The most commonly consumed foods among their infants were Vitamin A rich foods and dairy products. The study alluded to the existing of malnutrition among infants of young mothers. There was also an association between breastfeeding, meal frequency and infant illness.</w:t>
      </w:r>
      <w:r w:rsidR="00C603B8" w:rsidRPr="00C603B8">
        <w:rPr>
          <w:rFonts w:ascii="Arial" w:eastAsia="Times New Roman" w:hAnsi="Arial" w:cs="Arial"/>
          <w:sz w:val="18"/>
          <w:szCs w:val="18"/>
        </w:rPr>
        <w:t xml:space="preserve"> The government and other stakeholders should formulate policies that govern the health care and feeding practices of infants of adolescent mothers. Similar research should be replicated especially to compare the nutrition status of infants of adult mothers with that of young mothers in the same study area.</w:t>
      </w:r>
    </w:p>
    <w:p w:rsidR="00C322FF" w:rsidRDefault="00C322FF">
      <w:pPr>
        <w:spacing w:line="150" w:lineRule="exact"/>
        <w:rPr>
          <w:sz w:val="24"/>
          <w:szCs w:val="24"/>
        </w:rPr>
      </w:pPr>
    </w:p>
    <w:p w:rsidR="00C322FF" w:rsidRDefault="00B77746">
      <w:pPr>
        <w:ind w:left="1160"/>
        <w:rPr>
          <w:sz w:val="20"/>
          <w:szCs w:val="20"/>
        </w:rPr>
      </w:pPr>
      <w:r>
        <w:rPr>
          <w:rFonts w:ascii="Arial" w:eastAsia="Arial" w:hAnsi="Arial" w:cs="Arial"/>
          <w:b/>
          <w:bCs/>
          <w:sz w:val="20"/>
          <w:szCs w:val="20"/>
        </w:rPr>
        <w:t xml:space="preserve">Keywords: </w:t>
      </w:r>
      <w:r w:rsidR="0061678D">
        <w:rPr>
          <w:rFonts w:ascii="Arial" w:eastAsia="Arial" w:hAnsi="Arial" w:cs="Arial"/>
          <w:sz w:val="20"/>
          <w:szCs w:val="20"/>
        </w:rPr>
        <w:t>Feeding practices</w:t>
      </w:r>
      <w:r w:rsidR="0061678D">
        <w:rPr>
          <w:rFonts w:ascii="Arial" w:eastAsia="Arial" w:hAnsi="Arial" w:cs="Arial"/>
          <w:sz w:val="20"/>
          <w:szCs w:val="20"/>
        </w:rPr>
        <w:t>, health, Nutritional status, infant, adolescent mother</w:t>
      </w:r>
      <w:r>
        <w:rPr>
          <w:rFonts w:ascii="Arial" w:eastAsia="Arial" w:hAnsi="Arial" w:cs="Arial"/>
          <w:sz w:val="20"/>
          <w:szCs w:val="20"/>
        </w:rPr>
        <w:t>.</w:t>
      </w:r>
    </w:p>
    <w:p w:rsidR="00C322FF" w:rsidRDefault="00C322FF">
      <w:pPr>
        <w:spacing w:line="200" w:lineRule="exact"/>
        <w:rPr>
          <w:sz w:val="24"/>
          <w:szCs w:val="24"/>
        </w:rPr>
      </w:pPr>
    </w:p>
    <w:p w:rsidR="00C322FF" w:rsidRDefault="00C322FF">
      <w:pPr>
        <w:spacing w:line="271" w:lineRule="exact"/>
        <w:rPr>
          <w:sz w:val="24"/>
          <w:szCs w:val="24"/>
        </w:rPr>
      </w:pPr>
    </w:p>
    <w:p w:rsidR="00C322FF" w:rsidRDefault="00B77746">
      <w:pPr>
        <w:ind w:left="500"/>
        <w:rPr>
          <w:sz w:val="20"/>
          <w:szCs w:val="20"/>
        </w:rPr>
      </w:pPr>
      <w:r>
        <w:rPr>
          <w:rFonts w:ascii="Arial" w:eastAsia="Arial" w:hAnsi="Arial" w:cs="Arial"/>
          <w:b/>
          <w:bCs/>
          <w:sz w:val="28"/>
          <w:szCs w:val="28"/>
        </w:rPr>
        <w:t>1. Introduction</w:t>
      </w:r>
    </w:p>
    <w:p w:rsidR="00C322FF" w:rsidRDefault="00C322FF">
      <w:pPr>
        <w:spacing w:line="129" w:lineRule="exact"/>
        <w:rPr>
          <w:sz w:val="24"/>
          <w:szCs w:val="24"/>
        </w:rPr>
      </w:pPr>
    </w:p>
    <w:p w:rsidR="00284D30" w:rsidRPr="00284D30" w:rsidRDefault="00284D30" w:rsidP="00284D30">
      <w:pPr>
        <w:spacing w:line="276" w:lineRule="auto"/>
        <w:rPr>
          <w:rFonts w:ascii="Arial" w:eastAsia="Arial" w:hAnsi="Arial" w:cs="Arial"/>
        </w:rPr>
      </w:pPr>
      <w:r w:rsidRPr="00284D30">
        <w:rPr>
          <w:rFonts w:ascii="Arial" w:eastAsia="Arial" w:hAnsi="Arial" w:cs="Arial"/>
        </w:rPr>
        <w:t xml:space="preserve">Globally, approximately 12.8 million girls aged 15-19 years and two million girls under the age of 15 give birth every year putting themselves and their infants at risk due to complications of child birth and pregnancy </w:t>
      </w:r>
      <w:r w:rsidRPr="00284D30">
        <w:rPr>
          <w:rFonts w:ascii="Arial" w:eastAsia="Arial" w:hAnsi="Arial" w:cs="Arial"/>
        </w:rPr>
        <w:fldChar w:fldCharType="begin" w:fldLock="1"/>
      </w:r>
      <w:r w:rsidRPr="00284D30">
        <w:rPr>
          <w:rFonts w:ascii="Arial" w:eastAsia="Arial" w:hAnsi="Arial" w:cs="Arial"/>
        </w:rPr>
        <w:instrText>ADDIN CSL_CITATION {"citationItems":[{"id":"ITEM-1","itemData":{"ISBN":"9789241565585","abstract":"The World Health Statistics series is WHO's annual compilation of health statistics for its 194 member states. World health statistics 2018 focuses on the health and health-related Sustainable Development Goals (SDGs) and associated targets by bringing together data on a wide range of health-related SDG indicators. It also links to the three SDG-aligned strategic priorities of the WHO's 13th General Programme of Work, 2019-2023. World health statistics 2018 is organised into three parts. First, in order to improve understanding and interpretation of the data presented, Part 1 outlines the different types of data used and provides an overview of their compilation, processing and analysis. The resulting statistics are then publicised by WHO through its flagship products such as the World Health Statistics series. In Part 2, summaries are provided of the current status of selected health-related SDG indicators at global and regional levels, based on data available as of early 2018. In Part 3, each of these three strategic priorities of achieving universal health coverage (UHC), addressing health emergencies and promoting healthier populations are illustrated through the use of highlight stories. In Annexes A and B, country-level statistics are presented for selected health-related SDG indicators. Annex B presents statistics at WHO regional and global levels.","author":[{"dropping-particle":"","family":"World Health Organization.","given":"","non-dropping-particle":"","parse-names":false,"suffix":""}],"id":"ITEM-1","issued":{"date-parts":[["0"]]},"number-of-pages":"86","title":"World Health Statistics 2018 : monitoring health for the SDGs : sustainable development goals.","type":"book"},"uris":["http://www.mendeley.com/documents/?uuid=8e72d006-cf72-39ec-b627-a6a781416631"]}],"mendeley":{"formattedCitation":"(World Health Organization., n.d.)","plainTextFormattedCitation":"(World Health Organization., n.d.)","previouslyFormattedCitation":"(World Health Organization., n.d.)"},"properties":{"noteIndex":0},"schema":"https://github.com/citation-style-language/schema/raw/master/csl-citation.json"}</w:instrText>
      </w:r>
      <w:r w:rsidRPr="00284D30">
        <w:rPr>
          <w:rFonts w:ascii="Arial" w:eastAsia="Arial" w:hAnsi="Arial" w:cs="Arial"/>
        </w:rPr>
        <w:fldChar w:fldCharType="separate"/>
      </w:r>
      <w:r w:rsidRPr="00284D30">
        <w:rPr>
          <w:rFonts w:ascii="Arial" w:eastAsia="Arial" w:hAnsi="Arial" w:cs="Arial"/>
        </w:rPr>
        <w:t>(WHO, 2018)</w:t>
      </w:r>
      <w:r w:rsidRPr="00284D30">
        <w:rPr>
          <w:rFonts w:ascii="Arial" w:eastAsia="Arial" w:hAnsi="Arial" w:cs="Arial"/>
        </w:rPr>
        <w:fldChar w:fldCharType="end"/>
      </w:r>
      <w:r w:rsidRPr="00284D30">
        <w:rPr>
          <w:rFonts w:ascii="Arial" w:eastAsia="Arial" w:hAnsi="Arial" w:cs="Arial"/>
        </w:rPr>
        <w:t xml:space="preserve">. Infants born to adolescents who are considered young mothers are likely to have low birth weight, which can have an effect on their health and development </w:t>
      </w:r>
      <w:r w:rsidRPr="00284D30">
        <w:rPr>
          <w:rFonts w:ascii="Arial" w:eastAsia="Arial" w:hAnsi="Arial" w:cs="Arial"/>
        </w:rPr>
        <w:fldChar w:fldCharType="begin" w:fldLock="1"/>
      </w:r>
      <w:r w:rsidRPr="00284D30">
        <w:rPr>
          <w:rFonts w:ascii="Arial" w:eastAsia="Arial" w:hAnsi="Arial" w:cs="Arial"/>
        </w:rPr>
        <w:instrText>ADDIN CSL_CITATION {"citationItems":[{"id":"ITEM-1","itemData":{"ISBN":"9789241565585","abstract":"The World Health Statistics series is WHO's annual compilation of health statistics for its 194 member states. World health statistics 2018 focuses on the health and health-related Sustainable Development Goals (SDGs) and associated targets by bringing together data on a wide range of health-related SDG indicators. It also links to the three SDG-aligned strategic priorities of the WHO's 13th General Programme of Work, 2019-2023. World health statistics 2018 is organised into three parts. First, in order to improve understanding and interpretation of the data presented, Part 1 outlines the different types of data used and provides an overview of their compilation, processing and analysis. The resulting statistics are then publicised by WHO through its flagship products such as the World Health Statistics series. In Part 2, summaries are provided of the current status of selected health-related SDG indicators at global and regional levels, based on data available as of early 2018. In Part 3, each of these three strategic priorities of achieving universal health coverage (UHC), addressing health emergencies and promoting healthier populations are illustrated through the use of highlight stories. In Annexes A and B, country-level statistics are presented for selected health-related SDG indicators. Annex B presents statistics at WHO regional and global levels.","author":[{"dropping-particle":"","family":"World Health Organization.","given":"","non-dropping-particle":"","parse-names":false,"suffix":""}],"id":"ITEM-1","issued":{"date-parts":[["0"]]},"number-of-pages":"86","title":"World Health Statistics 2018 : monitoring health for the SDGs : sustainable development goals.","type":"book"},"uris":["http://www.mendeley.com/documents/?uuid=8e72d006-cf72-39ec-b627-a6a781416631"]}],"mendeley":{"formattedCitation":"(World Health Organization., n.d.)","plainTextFormattedCitation":"(World Health Organization., n.d.)","previouslyFormattedCitation":"(World Health Organization., n.d.)"},"properties":{"noteIndex":0},"schema":"https://github.com/citation-style-language/schema/raw/master/csl-citation.json"}</w:instrText>
      </w:r>
      <w:r w:rsidRPr="00284D30">
        <w:rPr>
          <w:rFonts w:ascii="Arial" w:eastAsia="Arial" w:hAnsi="Arial" w:cs="Arial"/>
        </w:rPr>
        <w:fldChar w:fldCharType="separate"/>
      </w:r>
      <w:r w:rsidRPr="00284D30">
        <w:rPr>
          <w:rFonts w:ascii="Arial" w:eastAsia="Arial" w:hAnsi="Arial" w:cs="Arial"/>
        </w:rPr>
        <w:t>(WHO,2018)</w:t>
      </w:r>
      <w:r w:rsidRPr="00284D30">
        <w:rPr>
          <w:rFonts w:ascii="Arial" w:eastAsia="Arial" w:hAnsi="Arial" w:cs="Arial"/>
        </w:rPr>
        <w:fldChar w:fldCharType="end"/>
      </w:r>
      <w:r w:rsidRPr="00284D30">
        <w:rPr>
          <w:rFonts w:ascii="Arial" w:eastAsia="Arial" w:hAnsi="Arial" w:cs="Arial"/>
        </w:rPr>
        <w:t xml:space="preserve">. Globally, approximately 22% of children under the age of five years were stunted, 5.6% overweight and 7.5% wasted globally while in Sub-Saharan Africa the prevalence of the three forms of malnutrition is stunting 5.6% overweight 21% and wasting is at 9% </w:t>
      </w:r>
      <w:r w:rsidRPr="00284D30">
        <w:rPr>
          <w:rFonts w:ascii="Arial" w:eastAsia="Arial" w:hAnsi="Arial" w:cs="Arial"/>
        </w:rPr>
        <w:fldChar w:fldCharType="begin" w:fldLock="1"/>
      </w:r>
      <w:r w:rsidRPr="00284D30">
        <w:rPr>
          <w:rFonts w:ascii="Arial" w:eastAsia="Arial" w:hAnsi="Arial" w:cs="Arial"/>
        </w:rPr>
        <w:instrText>ADDIN CSL_CITATION {"citationItems":[{"id":"ITEM-1","itemData":{"ISBN":"9789241565585","abstract":"The World Health Statistics series is WHO's annual compilation of health statistics for its 194 member states. World health statistics 2018 focuses on the health and health-related Sustainable Development Goals (SDGs) and associated targets by bringing together data on a wide range of health-related SDG indicators. It also links to the three SDG-aligned strategic priorities of the WHO's 13th General Programme of Work, 2019-2023. World health statistics 2018 is organised into three parts. First, in order to improve understanding and interpretation of the data presented, Part 1 outlines the different types of data used and provides an overview of their compilation, processing and analysis. The resulting statistics are then publicised by WHO through its flagship products such as the World Health Statistics series. In Part 2, summaries are provided of the current status of selected health-related SDG indicators at global and regional levels, based on data available as of early 2018. In Part 3, each of these three strategic priorities of achieving universal health coverage (UHC), addressing health emergencies and promoting healthier populations are illustrated through the use of highlight stories. In Annexes A and B, country-level statistics are presented for selected health-related SDG indicators. Annex B presents statistics at WHO regional and global levels.","author":[{"dropping-particle":"","family":"World Health Organization.","given":"","non-dropping-particle":"","parse-names":false,"suffix":""}],"id":"ITEM-1","issued":{"date-parts":[["0"]]},"number-of-pages":"86","title":"World Health Statistics 2018 : monitoring health for the SDGs : sustainable development goals.","type":"book"},"uris":["http://www.mendeley.com/documents/?uuid=8e72d006-cf72-39ec-b627-a6a781416631"]}],"mendeley":{"formattedCitation":"(World Health Organization., n.d.)","plainTextFormattedCitation":"(World Health Organization., n.d.)","previouslyFormattedCitation":"(World Health Organization., n.d.)"},"properties":{"noteIndex":0},"schema":"https://github.com/citation-style-language/schema/raw/master/csl-citation.json"}</w:instrText>
      </w:r>
      <w:r w:rsidRPr="00284D30">
        <w:rPr>
          <w:rFonts w:ascii="Arial" w:eastAsia="Arial" w:hAnsi="Arial" w:cs="Arial"/>
        </w:rPr>
        <w:fldChar w:fldCharType="separate"/>
      </w:r>
      <w:r w:rsidRPr="00284D30">
        <w:rPr>
          <w:rFonts w:ascii="Arial" w:eastAsia="Arial" w:hAnsi="Arial" w:cs="Arial"/>
        </w:rPr>
        <w:t>(WHO, 2018)</w:t>
      </w:r>
      <w:r w:rsidRPr="00284D30">
        <w:rPr>
          <w:rFonts w:ascii="Arial" w:eastAsia="Arial" w:hAnsi="Arial" w:cs="Arial"/>
        </w:rPr>
        <w:fldChar w:fldCharType="end"/>
      </w:r>
      <w:r w:rsidRPr="00284D30">
        <w:rPr>
          <w:rFonts w:ascii="Arial" w:eastAsia="Arial" w:hAnsi="Arial" w:cs="Arial"/>
        </w:rPr>
        <w:t>.</w:t>
      </w:r>
    </w:p>
    <w:p w:rsidR="00284D30" w:rsidRPr="00284D30" w:rsidRDefault="00284D30" w:rsidP="00284D30">
      <w:pPr>
        <w:spacing w:line="276" w:lineRule="auto"/>
        <w:rPr>
          <w:rFonts w:ascii="Arial" w:eastAsia="Arial" w:hAnsi="Arial" w:cs="Arial"/>
        </w:rPr>
      </w:pPr>
      <w:r w:rsidRPr="00284D30">
        <w:rPr>
          <w:rFonts w:ascii="Arial" w:eastAsia="Arial" w:hAnsi="Arial" w:cs="Arial"/>
        </w:rPr>
        <w:t xml:space="preserve">Early conceptions and childbearing have been associated with stress and negative mental health which impacts negatively in the development of their children (Huang, 2014).  Most of the adolescent mothers may not be formally employed and are from low socioeconomic status which may affect the health outcomes of their infants </w:t>
      </w:r>
      <w:r w:rsidRPr="00284D30">
        <w:rPr>
          <w:rFonts w:ascii="Arial" w:eastAsia="Arial" w:hAnsi="Arial" w:cs="Arial"/>
        </w:rPr>
        <w:fldChar w:fldCharType="begin" w:fldLock="1"/>
      </w:r>
      <w:r w:rsidRPr="00284D30">
        <w:rPr>
          <w:rFonts w:ascii="Arial" w:eastAsia="Arial" w:hAnsi="Arial" w:cs="Arial"/>
        </w:rPr>
        <w:instrText>ADDIN CSL_CITATION {"citationItems":[{"id":"ITEM-1","itemData":{"DOI":"10.1177/0890334416662629","author":[{"dropping-particle":"","family":"Godbout","given":"Jennifer M","non-dropping-particle":"","parse-names":false,"suffix":""},{"dropping-particle":"","family":"Goldsberry","given":"Whitney N","non-dropping-particle":"","parse-names":false,"suffix":""},{"dropping-particle":"","family":"Franklin","given":"Tanya E","non-dropping-particle":"","parse-names":false,"suffix":""}],"id":"ITEM-1","issued":{"date-parts":[["2016"]]},"title":"Factors Associated with Infant Feeding Choices in the Adolescent Population","type":"article-journal"},"uris":["http://www.mendeley.com/documents/?uuid=b95cd6b8-cf24-47fe-9bad-73da0361dccf"]}],"mendeley":{"formattedCitation":"(Godbout, Goldsberry, &amp; Franklin, 2016)","plainTextFormattedCitation":"(Godbout, Goldsberry, &amp; Franklin, 2016)","previouslyFormattedCitation":"(Godbout, Goldsberry, &amp; Franklin, 2016)"},"properties":{"noteIndex":0},"schema":"https://github.com/citation-style-language/schema/raw/master/csl-citation.json"}</w:instrText>
      </w:r>
      <w:r w:rsidRPr="00284D30">
        <w:rPr>
          <w:rFonts w:ascii="Arial" w:eastAsia="Arial" w:hAnsi="Arial" w:cs="Arial"/>
        </w:rPr>
        <w:fldChar w:fldCharType="separate"/>
      </w:r>
      <w:r w:rsidRPr="00284D30">
        <w:rPr>
          <w:rFonts w:ascii="Arial" w:eastAsia="Arial" w:hAnsi="Arial" w:cs="Arial"/>
        </w:rPr>
        <w:t xml:space="preserve">(Godbout, Goldsberry, &amp; </w:t>
      </w:r>
      <w:r w:rsidRPr="00284D30">
        <w:rPr>
          <w:rFonts w:ascii="Arial" w:eastAsia="Arial" w:hAnsi="Arial" w:cs="Arial"/>
        </w:rPr>
        <w:lastRenderedPageBreak/>
        <w:t>Franklin, 2016)</w:t>
      </w:r>
      <w:r w:rsidRPr="00284D30">
        <w:rPr>
          <w:rFonts w:ascii="Arial" w:eastAsia="Arial" w:hAnsi="Arial" w:cs="Arial"/>
        </w:rPr>
        <w:fldChar w:fldCharType="end"/>
      </w:r>
      <w:r w:rsidRPr="00284D30">
        <w:rPr>
          <w:rFonts w:ascii="Arial" w:eastAsia="Arial" w:hAnsi="Arial" w:cs="Arial"/>
        </w:rPr>
        <w:t xml:space="preserve">. They also deal with individual, social and personal changes which make it hard for them to properly take care of their infants </w:t>
      </w:r>
      <w:r w:rsidRPr="00284D30">
        <w:rPr>
          <w:rFonts w:ascii="Arial" w:eastAsia="Arial" w:hAnsi="Arial" w:cs="Arial"/>
        </w:rPr>
        <w:fldChar w:fldCharType="begin" w:fldLock="1"/>
      </w:r>
      <w:r w:rsidRPr="00284D30">
        <w:rPr>
          <w:rFonts w:ascii="Arial" w:eastAsia="Arial" w:hAnsi="Arial" w:cs="Arial"/>
        </w:rPr>
        <w:instrText>ADDIN CSL_CITATION {"citationItems":[{"id":"ITEM-1","itemData":{"ISBN":"8864222944","ISSN":"20082177","abstract":"© Research and Clinical Center for Infertitlity. All rights reserved.Background: Adolescent pregnancy and childbirth are associated with increased risk and challenges for both mothers and birth outcomes. Objective: To investigate the associations of growth change over time with parenting factors and to compare the differences between children born to adolescent and adult mothers in Taiwan. Materials and Methods: The dataset retrieved from Taiwan birth cohort study (TBCS) was collected by interviews using structured questionnaires, birth certificate and Passport of Well-baby Care of each child. Changes in body weight, body height and head circumference from birth to 18 months, as well as other variables were assessed by statistical analysis. Results: There were 4.13% births born to adolescent mothers in 2005. Higher ratios of breastfeeding and working were found among adult mothers (p&lt;0.001). Significantly higher percentage of adolescent mothers caregave their infants up to 18 months (p&lt;0.001). Children born to adolescent mothers were associated with statistically significant lower body weight (p&lt;0.001), body height (p&lt;0.001) and head circumference (p&lt;0.001) in spite of velocity and slop of growth patterns were similar over time. Breastfeeding did not significantly affected growth rate during the first 6 months. Generalized estimated equation models showed that gender and preterm birth were predictive factors for birth outcomes (both p&lt;0.001) and correlated to changes over time. Conclusion: Adolescent childbearing was associated with preterm birth and lower body weight, body height and head circumference from birth to 18 months. The changes in growth and development among children born to adolescent mothers remain to be followed and evaluated with the TBCS.","author":[{"dropping-particle":"","family":"Chen","given":"Yu Ju","non-dropping-particle":"","parse-names":false,"suffix":""},{"dropping-particle":"","family":"Li","given":"Chi Rong","non-dropping-particle":"","parse-names":false,"suffix":""},{"dropping-particle":"","family":"Lee","given":"Shu Hsin","non-dropping-particle":"","parse-names":false,"suffix":""},{"dropping-particle":"","family":"Hsu","given":"Bu Qing","non-dropping-particle":"","parse-names":false,"suffix":""},{"dropping-particle":"","family":"Wu","given":"Wei Ya","non-dropping-particle":"","parse-names":false,"suffix":""},{"dropping-particle":"","family":"Kuo","given":"Ching Pyng","non-dropping-particle":"","parse-names":false,"suffix":""},{"dropping-particle":"","family":"Hwang","given":"Shiow Li","non-dropping-particle":"","parse-names":false,"suffix":""},{"dropping-particle":"","family":"Lee","given":"Ming Chih","non-dropping-particle":"","parse-names":false,"suffix":""}],"container-title":"Iranian Journal of Reproductive Medicine","id":"ITEM-1","issue":"11","issued":{"date-parts":[["2014"]]},"page":"737-746","title":"Growth changes in infants born of adolescent mothers: Results of a national cohort study in Taiwan","type":"article-journal","volume":"12"},"uris":["http://www.mendeley.com/documents/?uuid=d7944fcf-822b-4b9c-8e5d-0bb6765d3e5f"]}],"mendeley":{"formattedCitation":"(Chen et al., 2014)","plainTextFormattedCitation":"(Chen et al., 2014)","previouslyFormattedCitation":"(Chen et al., 2014)"},"properties":{"noteIndex":0},"schema":"https://github.com/citation-style-language/schema/raw/master/csl-citation.json"}</w:instrText>
      </w:r>
      <w:r w:rsidRPr="00284D30">
        <w:rPr>
          <w:rFonts w:ascii="Arial" w:eastAsia="Arial" w:hAnsi="Arial" w:cs="Arial"/>
        </w:rPr>
        <w:fldChar w:fldCharType="separate"/>
      </w:r>
      <w:r w:rsidRPr="00284D30">
        <w:rPr>
          <w:rFonts w:ascii="Arial" w:eastAsia="Arial" w:hAnsi="Arial" w:cs="Arial"/>
        </w:rPr>
        <w:t>(Chen et al., 2014)</w:t>
      </w:r>
      <w:r w:rsidRPr="00284D30">
        <w:rPr>
          <w:rFonts w:ascii="Arial" w:eastAsia="Arial" w:hAnsi="Arial" w:cs="Arial"/>
        </w:rPr>
        <w:fldChar w:fldCharType="end"/>
      </w:r>
      <w:r w:rsidRPr="00284D30">
        <w:rPr>
          <w:rFonts w:ascii="Arial" w:eastAsia="Arial" w:hAnsi="Arial" w:cs="Arial"/>
        </w:rPr>
        <w:t>.</w:t>
      </w:r>
    </w:p>
    <w:p w:rsidR="00284D30" w:rsidRPr="00284D30" w:rsidRDefault="00284D30" w:rsidP="00284D30">
      <w:pPr>
        <w:spacing w:line="276" w:lineRule="auto"/>
        <w:rPr>
          <w:rFonts w:ascii="Arial" w:eastAsia="Arial" w:hAnsi="Arial" w:cs="Arial"/>
        </w:rPr>
      </w:pPr>
      <w:r w:rsidRPr="00284D30">
        <w:rPr>
          <w:rFonts w:ascii="Arial" w:eastAsia="Arial" w:hAnsi="Arial" w:cs="Arial"/>
        </w:rPr>
        <w:t xml:space="preserve">The Kenya Demographic Health Survey (KDHS, 2014) reported that; 26% of children below the age of five years in Kenya are stunted, 4% wasted and 11% underweight based on WHO 2006 reference growth standards. In addition, 18% of young women aged 15-19 years have begun childbearing, 15% have already had a live birth and an additional 3% are pregnant with their first child (KDHS, 2014). According to the survey young women with no education (33%) are much more likely to have begun childbearing compared to those with secondary or higher education (12%).This makes it difficult for them to take care of their infants because of economic challenges (Population Reference Bureau, 2015). In urban residents of Kenya, adolescent mothers with primary education had their first child early than those with secondary education </w:t>
      </w:r>
      <w:r w:rsidRPr="00284D30">
        <w:rPr>
          <w:rFonts w:ascii="Arial" w:eastAsia="Arial" w:hAnsi="Arial" w:cs="Arial"/>
        </w:rPr>
        <w:fldChar w:fldCharType="begin" w:fldLock="1"/>
      </w:r>
      <w:r w:rsidRPr="00284D30">
        <w:rPr>
          <w:rFonts w:ascii="Arial" w:eastAsia="Arial" w:hAnsi="Arial" w:cs="Arial"/>
        </w:rPr>
        <w:instrText>ADDIN CSL_CITATION {"citationItems":[{"id":"ITEM-1","itemData":{"abstract":"n/a","author":[{"dropping-particle":"","family":"Mumah","given":"Joyce","non-dropping-particle":"","parse-names":false,"suffix":""},{"dropping-particle":"","family":"Kabiru","given":"Caroline W","non-dropping-particle":"","parse-names":false,"suffix":""},{"dropping-particle":"","family":"Izugbara","given":"Chimaraoke","non-dropping-particle":"","parse-names":false,"suffix":""},{"dropping-particle":"","family":"Mukiira","given":"Carol","non-dropping-particle":"","parse-names":false,"suffix":""}],"container-title":"STEP UP Research Report","id":"ITEM-1","issue":"April","issued":{"date-parts":[["2014"]]},"title":"Coping with Unintended Pregnancies: Narratives from Adolescents in Nairobi’s Slums","type":"article-journal"},"uris":["http://www.mendeley.com/documents/?uuid=d91d7985-5e97-4bd0-9d5d-dcefd7e0e6ad"]}],"mendeley":{"formattedCitation":"(Mumah, Kabiru, Izugbara, &amp; Mukiira, 2014)","plainTextFormattedCitation":"(Mumah, Kabiru, Izugbara, &amp; Mukiira, 2014)","previouslyFormattedCitation":"(Mumah, Kabiru, Izugbara, &amp; Mukiira, 2014)"},"properties":{"noteIndex":0},"schema":"https://github.com/citation-style-language/schema/raw/master/csl-citation.json"}</w:instrText>
      </w:r>
      <w:r w:rsidRPr="00284D30">
        <w:rPr>
          <w:rFonts w:ascii="Arial" w:eastAsia="Arial" w:hAnsi="Arial" w:cs="Arial"/>
        </w:rPr>
        <w:fldChar w:fldCharType="separate"/>
      </w:r>
      <w:r w:rsidRPr="00284D30">
        <w:rPr>
          <w:rFonts w:ascii="Arial" w:eastAsia="Arial" w:hAnsi="Arial" w:cs="Arial"/>
        </w:rPr>
        <w:t>(Mumah, Kabiru, Izugbara, &amp; Mukiira, 2014)</w:t>
      </w:r>
      <w:r w:rsidRPr="00284D30">
        <w:rPr>
          <w:rFonts w:ascii="Arial" w:eastAsia="Arial" w:hAnsi="Arial" w:cs="Arial"/>
        </w:rPr>
        <w:fldChar w:fldCharType="end"/>
      </w:r>
      <w:r w:rsidRPr="00284D30">
        <w:rPr>
          <w:rFonts w:ascii="Arial" w:eastAsia="Arial" w:hAnsi="Arial" w:cs="Arial"/>
        </w:rPr>
        <w:t>.</w:t>
      </w:r>
    </w:p>
    <w:p w:rsidR="00284D30" w:rsidRPr="00284D30" w:rsidRDefault="00284D30" w:rsidP="00284D30">
      <w:pPr>
        <w:spacing w:line="276" w:lineRule="auto"/>
        <w:rPr>
          <w:rFonts w:ascii="Arial" w:eastAsia="Arial" w:hAnsi="Arial" w:cs="Arial"/>
        </w:rPr>
      </w:pPr>
    </w:p>
    <w:p w:rsidR="00284D30" w:rsidRDefault="00284D30" w:rsidP="00284D30">
      <w:pPr>
        <w:spacing w:line="276" w:lineRule="auto"/>
        <w:rPr>
          <w:rFonts w:ascii="Arial" w:eastAsia="Arial" w:hAnsi="Arial" w:cs="Arial"/>
        </w:rPr>
      </w:pPr>
      <w:r w:rsidRPr="00284D30">
        <w:rPr>
          <w:rFonts w:ascii="Arial" w:eastAsia="Arial" w:hAnsi="Arial" w:cs="Arial"/>
        </w:rPr>
        <w:t xml:space="preserve">In Narok County, global acute malnutrition prevalence remained poor as compared to that of June 2013 </w:t>
      </w:r>
      <w:r w:rsidRPr="00284D30">
        <w:rPr>
          <w:rFonts w:ascii="Arial" w:eastAsia="Arial" w:hAnsi="Arial" w:cs="Arial"/>
        </w:rPr>
        <w:fldChar w:fldCharType="begin" w:fldLock="1"/>
      </w:r>
      <w:r w:rsidRPr="00284D30">
        <w:rPr>
          <w:rFonts w:ascii="Arial" w:eastAsia="Arial" w:hAnsi="Arial" w:cs="Arial"/>
        </w:rPr>
        <w:instrText>ADDIN CSL_CITATION {"citationItems":[{"id":"ITEM-1","itemData":{"id":"ITEM-1","issued":{"date-parts":[["0"]]},"title":"Narok County SMART Survey Report - February 2018","type":"article-journal"},"uris":["http://www.mendeley.com/documents/?uuid=6463a6f5-88e1-3a23-ad18-64199880f8cf"]}],"mendeley":{"formattedCitation":"(&lt;i&gt;Narok County SMART Survey Report - February 2018&lt;/i&gt;, n.d.)","plainTextFormattedCitation":"(Narok County SMART Survey Report - February 2018, n.d.)","previouslyFormattedCitation":"(&lt;i&gt;Narok County SMART Survey Report - February 2018&lt;/i&gt;, n.d.)"},"properties":{"noteIndex":0},"schema":"https://github.com/citation-style-language/schema/raw/master/csl-citation.json"}</w:instrText>
      </w:r>
      <w:r w:rsidRPr="00284D30">
        <w:rPr>
          <w:rFonts w:ascii="Arial" w:eastAsia="Arial" w:hAnsi="Arial" w:cs="Arial"/>
        </w:rPr>
        <w:fldChar w:fldCharType="separate"/>
      </w:r>
      <w:r w:rsidRPr="00284D30">
        <w:rPr>
          <w:rFonts w:ascii="Arial" w:eastAsia="Arial" w:hAnsi="Arial" w:cs="Arial"/>
        </w:rPr>
        <w:t xml:space="preserve">( </w:t>
      </w:r>
      <w:r w:rsidRPr="00284D30">
        <w:rPr>
          <w:rFonts w:ascii="Arial" w:eastAsia="Arial" w:hAnsi="Arial" w:cs="Arial"/>
          <w:i/>
        </w:rPr>
        <w:t>Narok County SMART Survey Report - February 2018</w:t>
      </w:r>
      <w:r w:rsidRPr="00284D30">
        <w:rPr>
          <w:rFonts w:ascii="Arial" w:eastAsia="Arial" w:hAnsi="Arial" w:cs="Arial"/>
        </w:rPr>
        <w:t>, n.d.)</w:t>
      </w:r>
      <w:r w:rsidRPr="00284D30">
        <w:rPr>
          <w:rFonts w:ascii="Arial" w:eastAsia="Arial" w:hAnsi="Arial" w:cs="Arial"/>
        </w:rPr>
        <w:fldChar w:fldCharType="end"/>
      </w:r>
      <w:r w:rsidRPr="00284D30">
        <w:rPr>
          <w:rFonts w:ascii="Arial" w:eastAsia="Arial" w:hAnsi="Arial" w:cs="Arial"/>
        </w:rPr>
        <w:t xml:space="preserve">. The levels of malnutrition were as follows; underweight and stunting levels were at 18.9% and 27.2% respectively. Stunting levels was classified as medium that is 1 in 4 children in the county are stunted </w:t>
      </w:r>
      <w:r w:rsidRPr="00284D30">
        <w:rPr>
          <w:rFonts w:ascii="Arial" w:eastAsia="Arial" w:hAnsi="Arial" w:cs="Arial"/>
        </w:rPr>
        <w:fldChar w:fldCharType="begin" w:fldLock="1"/>
      </w:r>
      <w:r w:rsidRPr="00284D30">
        <w:rPr>
          <w:rFonts w:ascii="Arial" w:eastAsia="Arial" w:hAnsi="Arial" w:cs="Arial"/>
        </w:rPr>
        <w:instrText>ADDIN CSL_CITATION {"citationItems":[{"id":"ITEM-1","itemData":{"id":"ITEM-1","issued":{"date-parts":[["0"]]},"title":"Narok County SMART Survey Report - February 2018","type":"article-journal"},"uris":["http://www.mendeley.com/documents/?uuid=6463a6f5-88e1-3a23-ad18-64199880f8cf"]}],"mendeley":{"formattedCitation":"(&lt;i&gt;Narok County SMART Survey Report - February 2018&lt;/i&gt;, n.d.)","plainTextFormattedCitation":"(Narok County SMART Survey Report - February 2018, n.d.)","previouslyFormattedCitation":"(&lt;i&gt;Narok County SMART Survey Report - February 2018&lt;/i&gt;, n.d.)"},"properties":{"noteIndex":0},"schema":"https://github.com/citation-style-language/schema/raw/master/csl-citation.json"}</w:instrText>
      </w:r>
      <w:r w:rsidRPr="00284D30">
        <w:rPr>
          <w:rFonts w:ascii="Arial" w:eastAsia="Arial" w:hAnsi="Arial" w:cs="Arial"/>
        </w:rPr>
        <w:fldChar w:fldCharType="separate"/>
      </w:r>
      <w:r w:rsidRPr="00284D30">
        <w:rPr>
          <w:rFonts w:ascii="Arial" w:eastAsia="Arial" w:hAnsi="Arial" w:cs="Arial"/>
        </w:rPr>
        <w:t>(</w:t>
      </w:r>
      <w:r w:rsidRPr="00284D30">
        <w:rPr>
          <w:rFonts w:ascii="Arial" w:eastAsia="Arial" w:hAnsi="Arial" w:cs="Arial"/>
          <w:i/>
        </w:rPr>
        <w:t>Narok County SMART Survey Report - February 2018</w:t>
      </w:r>
      <w:r w:rsidRPr="00284D30">
        <w:rPr>
          <w:rFonts w:ascii="Arial" w:eastAsia="Arial" w:hAnsi="Arial" w:cs="Arial"/>
        </w:rPr>
        <w:t>, n.d.)</w:t>
      </w:r>
      <w:r w:rsidRPr="00284D30">
        <w:rPr>
          <w:rFonts w:ascii="Arial" w:eastAsia="Arial" w:hAnsi="Arial" w:cs="Arial"/>
        </w:rPr>
        <w:fldChar w:fldCharType="end"/>
      </w:r>
      <w:r w:rsidRPr="00284D30">
        <w:rPr>
          <w:rFonts w:ascii="Arial" w:eastAsia="Arial" w:hAnsi="Arial" w:cs="Arial"/>
        </w:rPr>
        <w:t>. Additionally, Narok County has relatively higher levels of adolesc</w:t>
      </w:r>
      <w:r w:rsidR="00FA5E09">
        <w:rPr>
          <w:rFonts w:ascii="Arial" w:eastAsia="Arial" w:hAnsi="Arial" w:cs="Arial"/>
        </w:rPr>
        <w:t xml:space="preserve">ent childbearing nationally. </w:t>
      </w:r>
    </w:p>
    <w:p w:rsidR="00284D30" w:rsidRDefault="00284D30" w:rsidP="00284D30">
      <w:pPr>
        <w:spacing w:line="276" w:lineRule="auto"/>
        <w:rPr>
          <w:rFonts w:ascii="Arial" w:eastAsia="Arial" w:hAnsi="Arial" w:cs="Arial"/>
        </w:rPr>
      </w:pPr>
    </w:p>
    <w:p w:rsidR="00284D30" w:rsidRDefault="00284D30">
      <w:pPr>
        <w:spacing w:line="152" w:lineRule="exact"/>
        <w:rPr>
          <w:sz w:val="20"/>
          <w:szCs w:val="20"/>
        </w:rPr>
      </w:pPr>
    </w:p>
    <w:p w:rsidR="00C322FF" w:rsidRDefault="00B77746">
      <w:pPr>
        <w:ind w:left="500"/>
        <w:rPr>
          <w:sz w:val="20"/>
          <w:szCs w:val="20"/>
        </w:rPr>
      </w:pPr>
      <w:r>
        <w:rPr>
          <w:rFonts w:ascii="Arial" w:eastAsia="Arial" w:hAnsi="Arial" w:cs="Arial"/>
          <w:b/>
          <w:bCs/>
          <w:sz w:val="28"/>
          <w:szCs w:val="28"/>
        </w:rPr>
        <w:t>2. The Problem</w:t>
      </w:r>
    </w:p>
    <w:p w:rsidR="00C322FF" w:rsidRDefault="00C322FF">
      <w:pPr>
        <w:spacing w:line="129" w:lineRule="exact"/>
        <w:rPr>
          <w:sz w:val="20"/>
          <w:szCs w:val="20"/>
        </w:rPr>
      </w:pPr>
    </w:p>
    <w:p w:rsidR="005F2AEF" w:rsidRPr="005F2AEF" w:rsidRDefault="005F2AEF" w:rsidP="005F2AEF">
      <w:pPr>
        <w:spacing w:line="276" w:lineRule="auto"/>
        <w:rPr>
          <w:rFonts w:ascii="Arial" w:eastAsia="Arial" w:hAnsi="Arial" w:cs="Arial"/>
        </w:rPr>
      </w:pPr>
      <w:r w:rsidRPr="005F2AEF">
        <w:rPr>
          <w:rFonts w:ascii="Arial" w:eastAsia="Arial" w:hAnsi="Arial" w:cs="Arial"/>
        </w:rPr>
        <w:t xml:space="preserve">Despite adequate nutrition being a basic human right, newborns of adolescent mothers have been found to have poorer nutritional status as compared to their adult counterparts </w:t>
      </w:r>
      <w:r w:rsidRPr="005F2AEF">
        <w:rPr>
          <w:rFonts w:ascii="Arial" w:eastAsia="Arial" w:hAnsi="Arial" w:cs="Arial"/>
        </w:rPr>
        <w:fldChar w:fldCharType="begin" w:fldLock="1"/>
      </w:r>
      <w:r w:rsidRPr="005F2AEF">
        <w:rPr>
          <w:rFonts w:ascii="Arial" w:eastAsia="Arial" w:hAnsi="Arial" w:cs="Arial"/>
        </w:rPr>
        <w:instrText>ADDIN CSL_CITATION {"citationItems":[{"id":"ITEM-1","itemData":{"DOI":"10.1371/journal.pone.0178878","ISSN":"19326203","abstract":"© 2017 Nguyen et al. This is an open access article distributed under the terms of the Creative Commons Attribution License, which permits unrestricted use, distribution, and reproduction in any medium, provided the original author and source are credited. Little is known about nutrition and well-being indicators of pregnant adolescents and the availability and use of nutrition interventions delivered through maternal, newborn, and child health (MNCH) programs. This study compared the differences between pregnant adolescents and adult pregnant women in services received, and in maternal and child nutrition and health conditions. A survey of 2,000 recently delivered women with infants &lt;6 months of age was carried out in 20 sub-districts in Bangladesh where MNCH program is being implemented. Differences in service use and outcomes between pregnant adolescents and adult women were tested using multivariate regression models. The coverage of antenatal care and nutrition services was similar for adolescent and adult mothers. Compared to adult mothers, adolescent mothers had significantly fewer ownership of assets and lower decision making power. Adolescent mothers weighed significantly less than adult women (45.8 vs 47.1 kg, p = 0.001), and their body mass index was significantly lower (19.7 vs 21.3, p = 0.001). Adolescents recovered later and with greater difficulty after childbirth. Infants of adolescent mothers had significant lower height-for-age z-score (-0.89 vs -0.74, p = 0.04), lower weight-for age z-score (-1.21 vs -1.08, p = 0.02) and higher underweight prevalence (22.4% vs 17.9%, p = 0.04) compared to infants of adult women. In conclusion, this study confirms that adolescent pregnancy poses substantial risks for maternal and infant outcomes, and emphasizes that these risks are significant even where services during pregnancy are available and accessed. A focus on preventing adolescent pregnancy is imperative, while also strengthening health and nutrition services for all pregnant women, whether adult or adolescent.","author":[{"dropping-particle":"","family":"Nguyen","given":"Phuong Hong","non-dropping-particle":"","parse-names":false,"suffix":""},{"dropping-particle":"","family":"Sanghvi","given":"Tina","non-dropping-particle":"","parse-names":false,"suffix":""},{"dropping-particle":"","family":"Tran","given":"Lan Mai","non-dropping-particle":"","parse-names":false,"suffix":""},{"dropping-particle":"","family":"Afsana","given":"Kaosar","non-dropping-particle":"","parse-names":false,"suffix":""},{"dropping-particle":"","family":"Mahmud","given":"Zeba","non-dropping-particle":"","parse-names":false,"suffix":""},{"dropping-particle":"","family":"Aktar","given":"Bachera","non-dropping-particle":"","parse-names":false,"suffix":""},{"dropping-particle":"","family":"Haque","given":"Raisul","non-dropping-particle":"","parse-names":false,"suffix":""},{"dropping-particle":"","family":"Menon","given":"Purnima","non-dropping-particle":"","parse-names":false,"suffix":""}],"container-title":"PLoS ONE","id":"ITEM-1","issue":"6","issued":{"date-parts":[["2017","6","1"]]},"publisher":"Public Library of Science","title":"The nutrition and health risks faced by pregnant adolescents: Insights from a cross-sectional study in Bangladesh","type":"article-journal","volume":"12"},"uris":["http://www.mendeley.com/documents/?uuid=ebc01e9a-3e58-3790-8222-10c2685cd304"]}],"mendeley":{"formattedCitation":"(Nguyen et al., 2017)","plainTextFormattedCitation":"(Nguyen et al., 2017)","previouslyFormattedCitation":"(Nguyen et al., 2017)"},"properties":{"noteIndex":0},"schema":"https://github.com/citation-style-language/schema/raw/master/csl-citation.json"}</w:instrText>
      </w:r>
      <w:r w:rsidRPr="005F2AEF">
        <w:rPr>
          <w:rFonts w:ascii="Arial" w:eastAsia="Arial" w:hAnsi="Arial" w:cs="Arial"/>
        </w:rPr>
        <w:fldChar w:fldCharType="separate"/>
      </w:r>
      <w:r w:rsidRPr="005F2AEF">
        <w:rPr>
          <w:rFonts w:ascii="Arial" w:eastAsia="Arial" w:hAnsi="Arial" w:cs="Arial"/>
        </w:rPr>
        <w:t>(Nguyen et al., 2017)</w:t>
      </w:r>
      <w:r w:rsidRPr="005F2AEF">
        <w:rPr>
          <w:rFonts w:ascii="Arial" w:eastAsia="Arial" w:hAnsi="Arial" w:cs="Arial"/>
        </w:rPr>
        <w:fldChar w:fldCharType="end"/>
      </w:r>
      <w:r w:rsidRPr="005F2AEF">
        <w:rPr>
          <w:rFonts w:ascii="Arial" w:eastAsia="Arial" w:hAnsi="Arial" w:cs="Arial"/>
        </w:rPr>
        <w:t xml:space="preserve">. Adolescent mothers have social, economic and maturity challenges that are unique to them which may in turn affect their health outcomes and that of their children </w:t>
      </w:r>
      <w:r w:rsidRPr="005F2AEF">
        <w:rPr>
          <w:rFonts w:ascii="Arial" w:eastAsia="Arial" w:hAnsi="Arial" w:cs="Arial"/>
        </w:rPr>
        <w:fldChar w:fldCharType="begin" w:fldLock="1"/>
      </w:r>
      <w:r w:rsidRPr="005F2AEF">
        <w:rPr>
          <w:rFonts w:ascii="Arial" w:eastAsia="Arial" w:hAnsi="Arial" w:cs="Arial"/>
        </w:rPr>
        <w:instrText>ADDIN CSL_CITATION {"citationItems":[{"id":"ITEM-1","itemData":{"DOI":"10.1177/0890334416662629","author":[{"dropping-particle":"","family":"Godbout","given":"Jennifer M","non-dropping-particle":"","parse-names":false,"suffix":""},{"dropping-particle":"","family":"Goldsberry","given":"Whitney N","non-dropping-particle":"","parse-names":false,"suffix":""},{"dropping-particle":"","family":"Franklin","given":"Tanya E","non-dropping-particle":"","parse-names":false,"suffix":""}],"id":"ITEM-1","issued":{"date-parts":[["2016"]]},"title":"Factors Associated with Infant Feeding Choices in the Adolescent Population","type":"article-journal"},"uris":["http://www.mendeley.com/documents/?uuid=b95cd6b8-cf24-47fe-9bad-73da0361dccf"]}],"mendeley":{"formattedCitation":"(Godbout et al., 2016)","plainTextFormattedCitation":"(Godbout et al., 2016)","previouslyFormattedCitation":"(Godbout et al., 2016)"},"properties":{"noteIndex":0},"schema":"https://github.com/citation-style-language/schema/raw/master/csl-citation.json"}</w:instrText>
      </w:r>
      <w:r w:rsidRPr="005F2AEF">
        <w:rPr>
          <w:rFonts w:ascii="Arial" w:eastAsia="Arial" w:hAnsi="Arial" w:cs="Arial"/>
        </w:rPr>
        <w:fldChar w:fldCharType="separate"/>
      </w:r>
      <w:r w:rsidRPr="005F2AEF">
        <w:rPr>
          <w:rFonts w:ascii="Arial" w:eastAsia="Arial" w:hAnsi="Arial" w:cs="Arial"/>
        </w:rPr>
        <w:t>(Godbout et al., 2016)</w:t>
      </w:r>
      <w:r w:rsidRPr="005F2AEF">
        <w:rPr>
          <w:rFonts w:ascii="Arial" w:eastAsia="Arial" w:hAnsi="Arial" w:cs="Arial"/>
        </w:rPr>
        <w:fldChar w:fldCharType="end"/>
      </w:r>
      <w:r w:rsidRPr="005F2AEF">
        <w:rPr>
          <w:rFonts w:ascii="Arial" w:eastAsia="Arial" w:hAnsi="Arial" w:cs="Arial"/>
        </w:rPr>
        <w:t xml:space="preserve">.Early marriage and child birth continue to increase in low and middle income countries. There is a rise in adolescent motherhood in Kenya with those with lower education and living in rural areas (26%) having their child below the age of 18 years putting their children at risk of under nutrition (KDHS, 2014). In Transmara West County, there were high pregnancies that led to a high number of teenage girls dropping out of school which was so far the highest in the County </w:t>
      </w:r>
      <w:r w:rsidRPr="005F2AEF">
        <w:rPr>
          <w:rFonts w:ascii="Arial" w:eastAsia="Arial" w:hAnsi="Arial" w:cs="Arial"/>
        </w:rPr>
        <w:fldChar w:fldCharType="begin" w:fldLock="1"/>
      </w:r>
      <w:r w:rsidRPr="005F2AEF">
        <w:rPr>
          <w:rFonts w:ascii="Arial" w:eastAsia="Arial" w:hAnsi="Arial" w:cs="Arial"/>
        </w:rPr>
        <w:instrText>ADDIN CSL_CITATION {"citationItems":[{"id":"ITEM-1","itemData":{"id":"ITEM-1","issue":"January","issued":{"date-parts":[["2017"]]},"title":"NATIONAL ADOLESCENTS AND YOUTH COUNTY","type":"article-journal"},"uris":["http://www.mendeley.com/documents/?uuid=e0e1793a-2ff8-4572-bcf5-0c51d0469f2b"]}],"mendeley":{"formattedCitation":"(&lt;i&gt;NATIONAL ADOLESCENTS AND YOUTH COUNTY&lt;/i&gt;, 2017)","plainTextFormattedCitation":"(NATIONAL ADOLESCENTS AND YOUTH COUNTY, 2017)","previouslyFormattedCitation":"(&lt;i&gt;NATIONAL ADOLESCENTS AND YOUTH COUNTY&lt;/i&gt;, 2017)"},"properties":{"noteIndex":0},"schema":"https://github.com/citation-style-language/schema/raw/master/csl-citation.json"}</w:instrText>
      </w:r>
      <w:r w:rsidRPr="005F2AEF">
        <w:rPr>
          <w:rFonts w:ascii="Arial" w:eastAsia="Arial" w:hAnsi="Arial" w:cs="Arial"/>
        </w:rPr>
        <w:fldChar w:fldCharType="separate"/>
      </w:r>
      <w:r w:rsidRPr="005F2AEF">
        <w:rPr>
          <w:rFonts w:ascii="Arial" w:eastAsia="Arial" w:hAnsi="Arial" w:cs="Arial"/>
        </w:rPr>
        <w:t>(</w:t>
      </w:r>
      <w:r w:rsidRPr="005F2AEF">
        <w:rPr>
          <w:rFonts w:ascii="Arial" w:eastAsia="Arial" w:hAnsi="Arial" w:cs="Arial"/>
          <w:i/>
        </w:rPr>
        <w:t>NATIONAL ADOLESCENTS AND YOUTH COUNTY</w:t>
      </w:r>
      <w:r w:rsidRPr="005F2AEF">
        <w:rPr>
          <w:rFonts w:ascii="Arial" w:eastAsia="Arial" w:hAnsi="Arial" w:cs="Arial"/>
        </w:rPr>
        <w:t>, 2017)</w:t>
      </w:r>
      <w:r w:rsidRPr="005F2AEF">
        <w:rPr>
          <w:rFonts w:ascii="Arial" w:eastAsia="Arial" w:hAnsi="Arial" w:cs="Arial"/>
        </w:rPr>
        <w:fldChar w:fldCharType="end"/>
      </w:r>
      <w:r w:rsidRPr="005F2AEF">
        <w:rPr>
          <w:rFonts w:ascii="Arial" w:eastAsia="Arial" w:hAnsi="Arial" w:cs="Arial"/>
        </w:rPr>
        <w:t>. Further, a research by Okeyo (2019) in Transmara East established that there is low coverage of advice on healthy dietary diversity, exclusive breast feeding, nutrition supplementation, food fortification and complementary feeding which can create risks of under nutrition to the infants of these young mothers.</w:t>
      </w:r>
    </w:p>
    <w:p w:rsidR="005F2AEF" w:rsidRPr="005F2AEF" w:rsidRDefault="005F2AEF" w:rsidP="005F2AEF">
      <w:pPr>
        <w:spacing w:line="276" w:lineRule="auto"/>
        <w:rPr>
          <w:rFonts w:ascii="Arial" w:eastAsia="Arial" w:hAnsi="Arial" w:cs="Arial"/>
        </w:rPr>
      </w:pPr>
    </w:p>
    <w:p w:rsidR="005F2AEF" w:rsidRPr="005F2AEF" w:rsidRDefault="005F2AEF" w:rsidP="005F2AEF">
      <w:pPr>
        <w:spacing w:line="276" w:lineRule="auto"/>
        <w:rPr>
          <w:rFonts w:ascii="Arial" w:eastAsia="Arial" w:hAnsi="Arial" w:cs="Arial"/>
        </w:rPr>
      </w:pPr>
      <w:r w:rsidRPr="005F2AEF">
        <w:rPr>
          <w:rFonts w:ascii="Arial" w:eastAsia="Arial" w:hAnsi="Arial" w:cs="Arial"/>
        </w:rPr>
        <w:t xml:space="preserve">Under nutrition among their infant’s increases the risk of morbidity and other serious health problems early in life. In addition, evidence has shown that young mothers struggle with different barriers such as the lack of autonomy in decision making and child care, the knowledge on proper infant feeding, embarrassment that is associated with public breastfeeding and the lack of support from the health care team </w:t>
      </w:r>
      <w:r w:rsidRPr="005F2AEF">
        <w:rPr>
          <w:rFonts w:ascii="Arial" w:eastAsia="Arial" w:hAnsi="Arial" w:cs="Arial"/>
        </w:rPr>
        <w:fldChar w:fldCharType="begin" w:fldLock="1"/>
      </w:r>
      <w:r w:rsidRPr="005F2AEF">
        <w:rPr>
          <w:rFonts w:ascii="Arial" w:eastAsia="Arial" w:hAnsi="Arial" w:cs="Arial"/>
        </w:rPr>
        <w:instrText>ADDIN CSL_CITATION {"citationItems":[{"id":"ITEM-1","itemData":{"DOI":"10.1186/s12884-018-1675-7","ISSN":"14712393","abstract":"© 2018 The Author(s). Background: The nutritional status of infants born to teenage mothers can be sub-optimal compared to those born to older mothers. One contributing factor is inappropriate feeding practices adopted by teenage mothers. Little is known about how infant feeding decisions are made among teenage mothers, particularly in under resourced settings. In this study we prospectively explored autonomy and infant feeding decision-making among teenage mothers in a rural and urban setting in KwaZulu-Natal, South Africa. Methods: This study adopted a qualitative longitudinal design. Thirty pregnant participants were recruited to the study cohort, from the catchment area of two hospitals (one urban and one rural). Participants were purposively selected to include teenagers, HIV positive, and working pregnant women. We report findings from ten teenage mothers, aged between 15 and 19years, who participated in the larger cohort (n=5 rural; n=5 urban). Monthly in-depth interviews were conducted with participating mothers for 6months starting 2weeks after delivery. All interviews were conducted in the local language, transcribed verbatim and translated into English. Data was coded using NVivo v10 and framework analysis was used. Results: Findings from this study showed that teenage mothers had knowledge about recommended feeding practices. However, our findings suggest that these mothers were not involved in infant feeding decisions once they were at home, because infant feeding decision-making was a role largely assumed by older mothers in the family. Further, the age of the mother and financial dependency diminished her autonomy and ability to influence feeding practices or challenge incorrect advice given at home. Most feeding advice shared by family members was inappropriate, leading to poor infant feeding practices among teenage mothers. Returning to school and fear of breastfeeding in public were also barriers to exclusive breastfeeding. Conclusion: Teenage mothers had a limited role in the infant feeding decision-making process. Health workers have an important role to play in ensuring that knowledge about infant feeding is shared with the mother's family where infant feeding choices are made. This will improve support for teenage mothers, and may also positively impact on the nutritional status of children.","author":[{"dropping-particle":"","family":"Jama","given":"Ngcwalisa Amanda","non-dropping-particle":"","parse-names":false,"suffix":""},{"dropping-particle":"","family":"Wilford","given":"Aurene","non-dropping-particle":"","parse-names":false,"suffix":""},{"dropping-particle":"","family":"Haskins","given":"Lyn","non-dropping-particle":"","parse-names":false,"suffix":""},{"dropping-particle":"","family":"Coutsoudis","given":"Anna","non-dropping-particle":"","parse-names":false,"suffix":""},{"dropping-particle":"","family":"Spies","given":"Lenore","non-dropping-particle":"","parse-names":false,"suffix":""},{"dropping-particle":"","family":"Horwood","given":"Christiane","non-dropping-particle":"","parse-names":false,"suffix":""}],"container-title":"BMC Pregnancy and Childbirth","id":"ITEM-1","issue":"1","issued":{"date-parts":[["2018","2","17"]]},"publisher":"BioMed Central Ltd.","title":"Autonomy and infant feeding decision-making among teenage mothers in a rural and urban setting in KwaZulu-Natal, South Africa","type":"article-journal","volume":"18"},"uris":["http://www.mendeley.com/documents/?uuid=587aaaa9-8fa6-3f0b-8c1b-e771237d03eb"]}],"mendeley":{"formattedCitation":"(Jama et al., 2018)","plainTextFormattedCitation":"(Jama et al., 2018)","previouslyFormattedCitation":"(Jama et al., 2018)"},"properties":{"noteIndex":0},"schema":"https://github.com/citation-style-language/schema/raw/master/csl-citation.json"}</w:instrText>
      </w:r>
      <w:r w:rsidRPr="005F2AEF">
        <w:rPr>
          <w:rFonts w:ascii="Arial" w:eastAsia="Arial" w:hAnsi="Arial" w:cs="Arial"/>
        </w:rPr>
        <w:fldChar w:fldCharType="separate"/>
      </w:r>
      <w:r w:rsidRPr="005F2AEF">
        <w:rPr>
          <w:rFonts w:ascii="Arial" w:eastAsia="Arial" w:hAnsi="Arial" w:cs="Arial"/>
        </w:rPr>
        <w:t>(Jama et al., 2018)</w:t>
      </w:r>
      <w:r w:rsidRPr="005F2AEF">
        <w:rPr>
          <w:rFonts w:ascii="Arial" w:eastAsia="Arial" w:hAnsi="Arial" w:cs="Arial"/>
        </w:rPr>
        <w:fldChar w:fldCharType="end"/>
      </w:r>
      <w:r w:rsidRPr="005F2AEF">
        <w:rPr>
          <w:rFonts w:ascii="Arial" w:eastAsia="Arial" w:hAnsi="Arial" w:cs="Arial"/>
        </w:rPr>
        <w:t xml:space="preserve">.It has also been suggested that this is as a result of the stigma and perceived lack of support from the family, community and health care team. </w:t>
      </w:r>
    </w:p>
    <w:p w:rsidR="005F2AEF" w:rsidRPr="005F2AEF" w:rsidRDefault="005F2AEF" w:rsidP="005F2AEF">
      <w:pPr>
        <w:spacing w:line="276" w:lineRule="auto"/>
        <w:rPr>
          <w:rFonts w:ascii="Arial" w:eastAsia="Arial" w:hAnsi="Arial" w:cs="Arial"/>
        </w:rPr>
      </w:pPr>
    </w:p>
    <w:p w:rsidR="005F2AEF" w:rsidRPr="005F2AEF" w:rsidRDefault="005F2AEF" w:rsidP="005F2AEF">
      <w:pPr>
        <w:spacing w:line="276" w:lineRule="auto"/>
        <w:rPr>
          <w:rFonts w:ascii="Arial" w:eastAsia="Arial" w:hAnsi="Arial" w:cs="Arial"/>
        </w:rPr>
      </w:pPr>
      <w:r w:rsidRPr="005F2AEF">
        <w:rPr>
          <w:rFonts w:ascii="Arial" w:eastAsia="Arial" w:hAnsi="Arial" w:cs="Arial"/>
        </w:rPr>
        <w:t xml:space="preserve">Despite the rise in early motherhood in Kenya, there is a paucity of scientific data on dietary practices, health and nutritional needs of their infants. If no intervention is provided to these young mothers, the outcome may be associated with intergenerational malnutrition and poverty </w:t>
      </w:r>
      <w:r w:rsidRPr="005F2AEF">
        <w:rPr>
          <w:rFonts w:ascii="Arial" w:eastAsia="Arial" w:hAnsi="Arial" w:cs="Arial"/>
        </w:rPr>
        <w:fldChar w:fldCharType="begin" w:fldLock="1"/>
      </w:r>
      <w:r w:rsidRPr="005F2AEF">
        <w:rPr>
          <w:rFonts w:ascii="Arial" w:eastAsia="Arial" w:hAnsi="Arial" w:cs="Arial"/>
        </w:rPr>
        <w:instrText>ADDIN CSL_CITATION {"citationItems":[{"id":"ITEM-1","itemData":{"DOI":"10.1186/s13006-016-0092-7","ISSN":"1746-4358","author":[{"dropping-particle":"","family":"Wanjohi","given":"Milka","non-dropping-particle":"","parse-names":false,"suffix":""},{"dropping-particle":"","family":"Griffiths","given":"Paula","non-dropping-particle":"","parse-names":false,"suffix":""},{"dropping-particle":"","family":"Wekesah","given":"Frederick","non-dropping-particle":"","parse-names":false,"suffix":""},{"dropping-particle":"","family":"Muriuki","given":"Peter","non-dropping-particle":"","parse-names":false,"suffix":""},{"dropping-particle":"","family":"Muhia","given":"Nelson","non-dropping-particle":"","parse-names":false,"suffix":""},{"dropping-particle":"","family":"Musoke","given":"Rachel N","non-dropping-particle":"","parse-names":false,"suffix":""},{"dropping-particle":"","family":"Fouts","given":"Hillary N","non-dropping-particle":"","parse-names":false,"suffix":""},{"dropping-particle":"","family":"Madise","given":"Nyovani J","non-dropping-particle":"","parse-names":false,"suffix":""},{"dropping-particle":"","family":"Kimani-murage","given":"Elizabeth W","non-dropping-particle":"","parse-names":false,"suffix":""}],"container-title":"International Breastfeeding Journal","id":"ITEM-1","issued":{"date-parts":[["2017"]]},"page":"1-8","publisher":"International Breastfeeding Journal","title":"Sociocultural factors influencing breastfeeding practices in two slums in Nairobi , Kenya","type":"article-journal"},"uris":["http://www.mendeley.com/documents/?uuid=3865d3f9-fadb-41b0-93a5-c86134f7ad0e"]}],"mendeley":{"formattedCitation":"(Wanjohi et al., 2017)","plainTextFormattedCitation":"(Wanjohi et al., 2017)","previouslyFormattedCitation":"(Wanjohi et al., 2017)"},"properties":{"noteIndex":0},"schema":"https://github.com/citation-style-language/schema/raw/master/csl-citation.json"}</w:instrText>
      </w:r>
      <w:r w:rsidRPr="005F2AEF">
        <w:rPr>
          <w:rFonts w:ascii="Arial" w:eastAsia="Arial" w:hAnsi="Arial" w:cs="Arial"/>
        </w:rPr>
        <w:fldChar w:fldCharType="separate"/>
      </w:r>
      <w:r w:rsidRPr="005F2AEF">
        <w:rPr>
          <w:rFonts w:ascii="Arial" w:eastAsia="Arial" w:hAnsi="Arial" w:cs="Arial"/>
        </w:rPr>
        <w:t>(Wanjohi et al., 2017)</w:t>
      </w:r>
      <w:r w:rsidRPr="005F2AEF">
        <w:rPr>
          <w:rFonts w:ascii="Arial" w:eastAsia="Arial" w:hAnsi="Arial" w:cs="Arial"/>
        </w:rPr>
        <w:fldChar w:fldCharType="end"/>
      </w:r>
      <w:r w:rsidRPr="005F2AEF">
        <w:rPr>
          <w:rFonts w:ascii="Arial" w:eastAsia="Arial" w:hAnsi="Arial" w:cs="Arial"/>
        </w:rPr>
        <w:t xml:space="preserve">. These young mothers are vulnerable, immature and not mentally prepared for child care. They have been found to be depressed and to have low self esteem as a result of child marriage (Marangu </w:t>
      </w:r>
      <w:r w:rsidRPr="005F2AEF">
        <w:rPr>
          <w:rFonts w:ascii="Arial" w:eastAsia="Arial" w:hAnsi="Arial" w:cs="Arial"/>
          <w:i/>
        </w:rPr>
        <w:t xml:space="preserve">et al., </w:t>
      </w:r>
      <w:r w:rsidRPr="005F2AEF">
        <w:rPr>
          <w:rFonts w:ascii="Arial" w:eastAsia="Arial" w:hAnsi="Arial" w:cs="Arial"/>
        </w:rPr>
        <w:t xml:space="preserve">2017). Also the return to school of </w:t>
      </w:r>
      <w:r w:rsidRPr="005F2AEF">
        <w:rPr>
          <w:rFonts w:ascii="Arial" w:eastAsia="Arial" w:hAnsi="Arial" w:cs="Arial"/>
        </w:rPr>
        <w:lastRenderedPageBreak/>
        <w:t xml:space="preserve">the teenage mother leaves their infants vulnerable to under nutrition as the caretakers lack the proper motherly care and support. Narok County has high level of teenage pregnancies with poor malnutrition levels </w:t>
      </w:r>
      <w:r w:rsidRPr="005F2AEF">
        <w:rPr>
          <w:rFonts w:ascii="Arial" w:eastAsia="Arial" w:hAnsi="Arial" w:cs="Arial"/>
        </w:rPr>
        <w:fldChar w:fldCharType="begin" w:fldLock="1"/>
      </w:r>
      <w:r w:rsidRPr="005F2AEF">
        <w:rPr>
          <w:rFonts w:ascii="Arial" w:eastAsia="Arial" w:hAnsi="Arial" w:cs="Arial"/>
        </w:rPr>
        <w:instrText>ADDIN CSL_CITATION {"citationItems":[{"id":"ITEM-1","itemData":{"id":"ITEM-1","issued":{"date-parts":[["0"]]},"title":"Narok County SMART Survey Report - February 2018","type":"article-journal"},"uris":["http://www.mendeley.com/documents/?uuid=6463a6f5-88e1-3a23-ad18-64199880f8cf"]}],"mendeley":{"formattedCitation":"(&lt;i&gt;Narok County SMART Survey Report - February 2018&lt;/i&gt;, n.d.)","plainTextFormattedCitation":"(Narok County SMART Survey Report - February 2018, n.d.)","previouslyFormattedCitation":"(&lt;i&gt;Narok County SMART Survey Report - February 2018&lt;/i&gt;, n.d.)"},"properties":{"noteIndex":0},"schema":"https://github.com/citation-style-language/schema/raw/master/csl-citation.json"}</w:instrText>
      </w:r>
      <w:r w:rsidRPr="005F2AEF">
        <w:rPr>
          <w:rFonts w:ascii="Arial" w:eastAsia="Arial" w:hAnsi="Arial" w:cs="Arial"/>
        </w:rPr>
        <w:fldChar w:fldCharType="separate"/>
      </w:r>
      <w:r w:rsidRPr="005F2AEF">
        <w:rPr>
          <w:rFonts w:ascii="Arial" w:eastAsia="Arial" w:hAnsi="Arial" w:cs="Arial"/>
        </w:rPr>
        <w:t>(</w:t>
      </w:r>
      <w:r w:rsidRPr="005F2AEF">
        <w:rPr>
          <w:rFonts w:ascii="Arial" w:eastAsia="Arial" w:hAnsi="Arial" w:cs="Arial"/>
          <w:i/>
        </w:rPr>
        <w:t>Narok County SMART Survey Report - February 2018</w:t>
      </w:r>
      <w:r w:rsidRPr="005F2AEF">
        <w:rPr>
          <w:rFonts w:ascii="Arial" w:eastAsia="Arial" w:hAnsi="Arial" w:cs="Arial"/>
        </w:rPr>
        <w:t>, n.d.)</w:t>
      </w:r>
      <w:r w:rsidRPr="005F2AEF">
        <w:rPr>
          <w:rFonts w:ascii="Arial" w:eastAsia="Arial" w:hAnsi="Arial" w:cs="Arial"/>
        </w:rPr>
        <w:fldChar w:fldCharType="end"/>
      </w:r>
      <w:r w:rsidRPr="005F2AEF">
        <w:rPr>
          <w:rFonts w:ascii="Arial" w:eastAsia="Arial" w:hAnsi="Arial" w:cs="Arial"/>
        </w:rPr>
        <w:t>.</w:t>
      </w:r>
    </w:p>
    <w:p w:rsidR="005F2AEF" w:rsidRPr="005F2AEF" w:rsidRDefault="005F2AEF" w:rsidP="005F2AEF">
      <w:pPr>
        <w:spacing w:line="276" w:lineRule="auto"/>
        <w:rPr>
          <w:rFonts w:ascii="Arial" w:eastAsia="Arial" w:hAnsi="Arial" w:cs="Arial"/>
        </w:rPr>
      </w:pPr>
    </w:p>
    <w:p w:rsidR="005F2AEF" w:rsidRPr="005F2AEF" w:rsidRDefault="005F2AEF" w:rsidP="005F2AEF">
      <w:pPr>
        <w:spacing w:line="276" w:lineRule="auto"/>
        <w:rPr>
          <w:rFonts w:ascii="Arial" w:eastAsia="Arial" w:hAnsi="Arial" w:cs="Arial"/>
        </w:rPr>
      </w:pPr>
      <w:r w:rsidRPr="005F2AEF">
        <w:rPr>
          <w:rFonts w:ascii="Arial" w:eastAsia="Arial" w:hAnsi="Arial" w:cs="Arial"/>
        </w:rPr>
        <w:t>The health and nutrition status of these infants of young mothers has received little attention and therefore merits further research especially in developing countries where dietary practices is rarely reported. To address this gap, this study aimed at determining dietary practices, health and nutritional status among infants of adolescent mothers in Transmara West Sub County.</w:t>
      </w:r>
    </w:p>
    <w:p w:rsidR="00C322FF" w:rsidRDefault="00C322FF">
      <w:pPr>
        <w:spacing w:line="142" w:lineRule="exact"/>
        <w:rPr>
          <w:sz w:val="20"/>
          <w:szCs w:val="20"/>
        </w:rPr>
      </w:pPr>
    </w:p>
    <w:p w:rsidR="00C322FF" w:rsidRDefault="00B77746">
      <w:pPr>
        <w:ind w:left="500"/>
        <w:rPr>
          <w:sz w:val="20"/>
          <w:szCs w:val="20"/>
        </w:rPr>
      </w:pPr>
      <w:r>
        <w:rPr>
          <w:rFonts w:ascii="Arial" w:eastAsia="Arial" w:hAnsi="Arial" w:cs="Arial"/>
          <w:b/>
          <w:bCs/>
          <w:sz w:val="28"/>
          <w:szCs w:val="28"/>
        </w:rPr>
        <w:t>3. Objectives</w:t>
      </w:r>
    </w:p>
    <w:p w:rsidR="00C322FF" w:rsidRDefault="00C322FF">
      <w:pPr>
        <w:spacing w:line="129" w:lineRule="exact"/>
        <w:rPr>
          <w:sz w:val="20"/>
          <w:szCs w:val="20"/>
        </w:rPr>
      </w:pPr>
    </w:p>
    <w:p w:rsidR="005F2AEF" w:rsidRPr="005F2AEF" w:rsidRDefault="00B77746" w:rsidP="005F2AEF">
      <w:pPr>
        <w:spacing w:line="274" w:lineRule="auto"/>
        <w:ind w:left="140" w:right="20"/>
        <w:jc w:val="both"/>
        <w:rPr>
          <w:rFonts w:ascii="Arial" w:eastAsia="Arial" w:hAnsi="Arial" w:cs="Arial"/>
          <w:sz w:val="21"/>
          <w:szCs w:val="21"/>
        </w:rPr>
      </w:pPr>
      <w:r>
        <w:rPr>
          <w:rFonts w:ascii="Arial" w:eastAsia="Arial" w:hAnsi="Arial" w:cs="Arial"/>
          <w:sz w:val="21"/>
          <w:szCs w:val="21"/>
        </w:rPr>
        <w:t xml:space="preserve">The main objective of this research paper was to </w:t>
      </w:r>
      <w:r w:rsidR="005F2AEF" w:rsidRPr="005F2AEF">
        <w:rPr>
          <w:rFonts w:ascii="Arial" w:eastAsia="Arial" w:hAnsi="Arial" w:cs="Arial"/>
          <w:sz w:val="21"/>
          <w:szCs w:val="21"/>
        </w:rPr>
        <w:t>assess the dietary practices, health and nutrition status of infants born to adolescent mothers in Transmara West Sub County, Kenya.</w:t>
      </w:r>
    </w:p>
    <w:p w:rsidR="00C322FF" w:rsidRDefault="00B77746">
      <w:pPr>
        <w:spacing w:line="274" w:lineRule="auto"/>
        <w:ind w:left="140" w:right="20"/>
        <w:jc w:val="both"/>
        <w:rPr>
          <w:sz w:val="20"/>
          <w:szCs w:val="20"/>
        </w:rPr>
      </w:pPr>
      <w:r>
        <w:rPr>
          <w:rFonts w:ascii="Arial" w:eastAsia="Arial" w:hAnsi="Arial" w:cs="Arial"/>
          <w:sz w:val="21"/>
          <w:szCs w:val="21"/>
        </w:rPr>
        <w:t>The</w:t>
      </w:r>
      <w:r w:rsidR="00284D30">
        <w:rPr>
          <w:rFonts w:ascii="Arial" w:eastAsia="Arial" w:hAnsi="Arial" w:cs="Arial"/>
          <w:sz w:val="21"/>
          <w:szCs w:val="21"/>
        </w:rPr>
        <w:t xml:space="preserve"> specific objectives </w:t>
      </w:r>
      <w:r>
        <w:rPr>
          <w:rFonts w:ascii="Arial" w:eastAsia="Arial" w:hAnsi="Arial" w:cs="Arial"/>
          <w:sz w:val="21"/>
          <w:szCs w:val="21"/>
        </w:rPr>
        <w:t>were as follows: -</w:t>
      </w:r>
    </w:p>
    <w:p w:rsidR="00C322FF" w:rsidRDefault="00C322FF">
      <w:pPr>
        <w:spacing w:line="2" w:lineRule="exact"/>
        <w:rPr>
          <w:sz w:val="20"/>
          <w:szCs w:val="20"/>
        </w:rPr>
      </w:pPr>
    </w:p>
    <w:p w:rsidR="00284D30" w:rsidRPr="00284D30" w:rsidRDefault="00284D30" w:rsidP="00284D30">
      <w:pPr>
        <w:numPr>
          <w:ilvl w:val="0"/>
          <w:numId w:val="12"/>
        </w:numPr>
        <w:rPr>
          <w:rFonts w:ascii="Arial" w:eastAsia="Arial" w:hAnsi="Arial" w:cs="Arial"/>
          <w:sz w:val="24"/>
          <w:szCs w:val="24"/>
        </w:rPr>
      </w:pPr>
      <w:r w:rsidRPr="00284D30">
        <w:rPr>
          <w:rFonts w:ascii="Arial" w:eastAsia="Arial" w:hAnsi="Arial" w:cs="Arial"/>
          <w:sz w:val="24"/>
          <w:szCs w:val="24"/>
        </w:rPr>
        <w:t>To assess the demographic and socio-economic characteristics of mother-infant pair</w:t>
      </w:r>
    </w:p>
    <w:p w:rsidR="00284D30" w:rsidRPr="00284D30" w:rsidRDefault="00284D30" w:rsidP="00284D30">
      <w:pPr>
        <w:numPr>
          <w:ilvl w:val="0"/>
          <w:numId w:val="12"/>
        </w:numPr>
        <w:rPr>
          <w:rFonts w:ascii="Arial" w:eastAsia="Arial" w:hAnsi="Arial" w:cs="Arial"/>
          <w:sz w:val="24"/>
          <w:szCs w:val="24"/>
        </w:rPr>
      </w:pPr>
      <w:r w:rsidRPr="00284D30">
        <w:rPr>
          <w:rFonts w:ascii="Arial" w:eastAsia="Arial" w:hAnsi="Arial" w:cs="Arial"/>
          <w:sz w:val="24"/>
          <w:szCs w:val="24"/>
        </w:rPr>
        <w:t xml:space="preserve">To determine the dietary practices of infants born to adolescent mothers </w:t>
      </w:r>
    </w:p>
    <w:p w:rsidR="00284D30" w:rsidRPr="00284D30" w:rsidRDefault="00284D30" w:rsidP="00284D30">
      <w:pPr>
        <w:numPr>
          <w:ilvl w:val="0"/>
          <w:numId w:val="12"/>
        </w:numPr>
        <w:rPr>
          <w:rFonts w:ascii="Arial" w:eastAsia="Arial" w:hAnsi="Arial" w:cs="Arial"/>
          <w:sz w:val="24"/>
          <w:szCs w:val="24"/>
        </w:rPr>
      </w:pPr>
      <w:r w:rsidRPr="00284D30">
        <w:rPr>
          <w:rFonts w:ascii="Arial" w:eastAsia="Arial" w:hAnsi="Arial" w:cs="Arial"/>
          <w:sz w:val="24"/>
          <w:szCs w:val="24"/>
        </w:rPr>
        <w:t xml:space="preserve">To establish the health status of infants born to adolescent mothers </w:t>
      </w:r>
    </w:p>
    <w:p w:rsidR="00284D30" w:rsidRPr="00284D30" w:rsidRDefault="00284D30" w:rsidP="00284D30">
      <w:pPr>
        <w:numPr>
          <w:ilvl w:val="0"/>
          <w:numId w:val="12"/>
        </w:numPr>
        <w:rPr>
          <w:rFonts w:ascii="Arial" w:eastAsia="Arial" w:hAnsi="Arial" w:cs="Arial"/>
          <w:sz w:val="24"/>
          <w:szCs w:val="24"/>
        </w:rPr>
      </w:pPr>
      <w:r w:rsidRPr="00284D30">
        <w:rPr>
          <w:rFonts w:ascii="Arial" w:eastAsia="Arial" w:hAnsi="Arial" w:cs="Arial"/>
          <w:sz w:val="24"/>
          <w:szCs w:val="24"/>
        </w:rPr>
        <w:t>To  assess the nutrition status of infants born to adolescent mothers</w:t>
      </w:r>
    </w:p>
    <w:p w:rsidR="00C322FF" w:rsidRPr="00284D30" w:rsidRDefault="00284D30" w:rsidP="00284D30">
      <w:pPr>
        <w:numPr>
          <w:ilvl w:val="0"/>
          <w:numId w:val="12"/>
        </w:numPr>
        <w:spacing w:line="249" w:lineRule="exact"/>
        <w:rPr>
          <w:sz w:val="20"/>
          <w:szCs w:val="20"/>
        </w:rPr>
      </w:pPr>
      <w:r w:rsidRPr="00284D30">
        <w:rPr>
          <w:rFonts w:ascii="Arial" w:eastAsia="Arial" w:hAnsi="Arial" w:cs="Arial"/>
          <w:sz w:val="24"/>
          <w:szCs w:val="24"/>
        </w:rPr>
        <w:t>To establish the relationship among demographic, socio-economic, dietary practices, health and nutrition status of infants belonging to adolescent mothers</w:t>
      </w:r>
      <w:bookmarkStart w:id="0" w:name="page3"/>
      <w:bookmarkEnd w:id="0"/>
    </w:p>
    <w:p w:rsidR="00284D30" w:rsidRDefault="00284D30" w:rsidP="00284D30">
      <w:pPr>
        <w:spacing w:line="249" w:lineRule="exact"/>
        <w:ind w:left="720"/>
        <w:rPr>
          <w:rFonts w:ascii="Arial" w:eastAsia="Arial" w:hAnsi="Arial" w:cs="Arial"/>
          <w:sz w:val="24"/>
          <w:szCs w:val="24"/>
        </w:rPr>
      </w:pPr>
    </w:p>
    <w:p w:rsidR="00284D30" w:rsidRPr="00284D30" w:rsidRDefault="00284D30" w:rsidP="00284D30">
      <w:pPr>
        <w:spacing w:line="249" w:lineRule="exact"/>
        <w:ind w:left="720"/>
        <w:rPr>
          <w:sz w:val="20"/>
          <w:szCs w:val="20"/>
        </w:rPr>
      </w:pPr>
    </w:p>
    <w:p w:rsidR="00C322FF" w:rsidRDefault="00B77746">
      <w:pPr>
        <w:ind w:left="500"/>
        <w:rPr>
          <w:sz w:val="20"/>
          <w:szCs w:val="20"/>
        </w:rPr>
      </w:pPr>
      <w:r>
        <w:rPr>
          <w:rFonts w:ascii="Arial" w:eastAsia="Arial" w:hAnsi="Arial" w:cs="Arial"/>
          <w:b/>
          <w:bCs/>
          <w:sz w:val="28"/>
          <w:szCs w:val="28"/>
        </w:rPr>
        <w:t>4. Literature Review</w:t>
      </w:r>
    </w:p>
    <w:p w:rsidR="00C322FF" w:rsidRDefault="00C322FF">
      <w:pPr>
        <w:spacing w:line="369" w:lineRule="exact"/>
        <w:rPr>
          <w:sz w:val="20"/>
          <w:szCs w:val="20"/>
        </w:rPr>
      </w:pPr>
    </w:p>
    <w:p w:rsidR="00C322FF" w:rsidRDefault="00B77746">
      <w:pPr>
        <w:ind w:left="500"/>
        <w:rPr>
          <w:sz w:val="20"/>
          <w:szCs w:val="20"/>
        </w:rPr>
      </w:pPr>
      <w:r>
        <w:rPr>
          <w:rFonts w:ascii="Arial" w:eastAsia="Arial" w:hAnsi="Arial" w:cs="Arial"/>
          <w:i/>
          <w:iCs/>
          <w:sz w:val="24"/>
          <w:szCs w:val="24"/>
        </w:rPr>
        <w:t xml:space="preserve">4.1 </w:t>
      </w:r>
      <w:r w:rsidR="00284D30" w:rsidRPr="00284D30">
        <w:rPr>
          <w:rFonts w:ascii="Arial" w:eastAsia="Arial" w:hAnsi="Arial" w:cs="Arial"/>
          <w:i/>
          <w:iCs/>
          <w:sz w:val="24"/>
          <w:szCs w:val="24"/>
        </w:rPr>
        <w:t>Adolescent mother demographic and socio economic status in relation to infant nutritional status</w:t>
      </w:r>
    </w:p>
    <w:p w:rsidR="00C322FF" w:rsidRDefault="00C322FF">
      <w:pPr>
        <w:spacing w:line="240" w:lineRule="exact"/>
        <w:rPr>
          <w:sz w:val="20"/>
          <w:szCs w:val="20"/>
        </w:rPr>
      </w:pPr>
    </w:p>
    <w:p w:rsidR="00284D30" w:rsidRPr="00284D30" w:rsidRDefault="00284D30" w:rsidP="00284D30">
      <w:pPr>
        <w:spacing w:line="276" w:lineRule="auto"/>
        <w:rPr>
          <w:rFonts w:ascii="Arial" w:eastAsia="Arial" w:hAnsi="Arial" w:cs="Arial"/>
          <w:sz w:val="21"/>
          <w:szCs w:val="21"/>
        </w:rPr>
      </w:pPr>
      <w:r w:rsidRPr="00284D30">
        <w:rPr>
          <w:rFonts w:ascii="Arial" w:eastAsia="Arial" w:hAnsi="Arial" w:cs="Arial"/>
          <w:sz w:val="21"/>
          <w:szCs w:val="21"/>
        </w:rPr>
        <w:t xml:space="preserve">It is estimated by WHO (2018), that 2.5 million girls aged 16 years of age have given birth in low resource countries by the age of 18 years. In the same study by World Health organization, 90% of the adolescent births are among 15-19 year olds and occur within marriage. Adolescent pregnancy accounts for 28% in Sub-Saharan Africa with women aged 20-24 years giving birth before the age of 18 years. The increase in child marriages is more common in areas with low socioeconomic status leading to an increase in adolescent births </w:t>
      </w:r>
      <w:r w:rsidRPr="00284D30">
        <w:rPr>
          <w:rFonts w:ascii="Arial" w:eastAsia="Arial" w:hAnsi="Arial" w:cs="Arial"/>
          <w:sz w:val="21"/>
          <w:szCs w:val="21"/>
        </w:rPr>
        <w:fldChar w:fldCharType="begin" w:fldLock="1"/>
      </w:r>
      <w:r w:rsidRPr="00284D30">
        <w:rPr>
          <w:rFonts w:ascii="Arial" w:eastAsia="Arial" w:hAnsi="Arial" w:cs="Arial"/>
          <w:sz w:val="21"/>
          <w:szCs w:val="21"/>
        </w:rPr>
        <w:instrText>ADDIN CSL_CITATION {"citationItems":[{"id":"ITEM-1","itemData":{"author":[{"dropping-particle":"","family":"Campbell","given":"Bruce","non-dropping-particle":"","parse-names":false,"suffix":""},{"dropping-particle":"","family":"Martinelli-heckadon","given":"Sonia","non-dropping-particle":"","parse-names":false,"suffix":""},{"dropping-particle":"","family":"Wong","given":"Sylvia","non-dropping-particle":"","parse-names":false,"suffix":""}],"id":"ITEM-1","issued":{"date-parts":[["2013"]]},"title":"Motherhood in Childhood","type":"article-journal"},"uris":["http://www.mendeley.com/documents/?uuid=8e6f79c2-3637-43c4-83f0-80935e00d1b7"]}],"mendeley":{"formattedCitation":"(Campbell, Martinelli-heckadon, &amp; Wong, 2013)","plainTextFormattedCitation":"(Campbell, Martinelli-heckadon, &amp; Wong, 2013)","previouslyFormattedCitation":"(Campbell, Martinelli-heckadon, &amp; Wong, 2013)"},"properties":{"noteIndex":0},"schema":"https://github.com/citation-style-language/schema/raw/master/csl-citation.json"}</w:instrText>
      </w:r>
      <w:r w:rsidRPr="00284D30">
        <w:rPr>
          <w:rFonts w:ascii="Arial" w:eastAsia="Arial" w:hAnsi="Arial" w:cs="Arial"/>
          <w:sz w:val="21"/>
          <w:szCs w:val="21"/>
        </w:rPr>
        <w:fldChar w:fldCharType="separate"/>
      </w:r>
      <w:r w:rsidRPr="00284D30">
        <w:rPr>
          <w:rFonts w:ascii="Arial" w:eastAsia="Arial" w:hAnsi="Arial" w:cs="Arial"/>
          <w:sz w:val="21"/>
          <w:szCs w:val="21"/>
        </w:rPr>
        <w:t>(Campbell, Martinelli-heckadon, &amp; Wong, 2013)</w:t>
      </w:r>
      <w:r w:rsidRPr="00284D30">
        <w:rPr>
          <w:rFonts w:ascii="Arial" w:eastAsia="Arial" w:hAnsi="Arial" w:cs="Arial"/>
          <w:sz w:val="21"/>
          <w:szCs w:val="21"/>
        </w:rPr>
        <w:fldChar w:fldCharType="end"/>
      </w:r>
      <w:r w:rsidRPr="00284D30">
        <w:rPr>
          <w:rFonts w:ascii="Arial" w:eastAsia="Arial" w:hAnsi="Arial" w:cs="Arial"/>
          <w:sz w:val="21"/>
          <w:szCs w:val="21"/>
        </w:rPr>
        <w:t>.</w:t>
      </w:r>
    </w:p>
    <w:p w:rsidR="00284D30" w:rsidRPr="00284D30" w:rsidRDefault="00284D30" w:rsidP="00284D30">
      <w:pPr>
        <w:spacing w:line="276" w:lineRule="auto"/>
        <w:rPr>
          <w:rFonts w:ascii="Arial" w:eastAsia="Arial" w:hAnsi="Arial" w:cs="Arial"/>
          <w:sz w:val="21"/>
          <w:szCs w:val="21"/>
        </w:rPr>
      </w:pPr>
    </w:p>
    <w:p w:rsidR="00284D30" w:rsidRPr="00284D30" w:rsidRDefault="00284D30" w:rsidP="00284D30">
      <w:pPr>
        <w:spacing w:line="276" w:lineRule="auto"/>
        <w:rPr>
          <w:rFonts w:ascii="Arial" w:eastAsia="Arial" w:hAnsi="Arial" w:cs="Arial"/>
          <w:sz w:val="21"/>
          <w:szCs w:val="21"/>
        </w:rPr>
      </w:pPr>
      <w:r w:rsidRPr="00284D30">
        <w:rPr>
          <w:rFonts w:ascii="Arial" w:eastAsia="Arial" w:hAnsi="Arial" w:cs="Arial"/>
          <w:sz w:val="21"/>
          <w:szCs w:val="21"/>
        </w:rPr>
        <w:t xml:space="preserve">Early marriages and lower education among the adolescent mothers has been associated with poor health, unemployment and violence in adolescent mothers which leads to depletion of nutrients contributing to a low birth weight for the infant and inadequate breast milk (Raj et al., 2010). A number of studies have shown that infant nutritional status is associated with maternal education </w:t>
      </w:r>
      <w:r w:rsidRPr="00284D30">
        <w:rPr>
          <w:rFonts w:ascii="Arial" w:eastAsia="Arial" w:hAnsi="Arial" w:cs="Arial"/>
          <w:sz w:val="21"/>
          <w:szCs w:val="21"/>
        </w:rPr>
        <w:fldChar w:fldCharType="begin" w:fldLock="1"/>
      </w:r>
      <w:r w:rsidRPr="00284D30">
        <w:rPr>
          <w:rFonts w:ascii="Arial" w:eastAsia="Arial" w:hAnsi="Arial" w:cs="Arial"/>
          <w:sz w:val="21"/>
          <w:szCs w:val="21"/>
        </w:rPr>
        <w:instrText>ADDIN CSL_CITATION {"citationItems":[{"id":"ITEM-1","itemData":{"ISBN":"1111111111","author":[{"dropping-particle":"","family":"Fadare","given":"Olusegun","non-dropping-particle":"","parse-names":false,"suffix":""},{"dropping-particle":"","family":"Id","given":"Mulubrhan Amare","non-dropping-particle":"","parse-names":false,"suffix":""},{"dropping-particle":"","family":"Mavrotas","given":"George","non-dropping-particle":"","parse-names":false,"suffix":""},{"dropping-particle":"","family":"Akerele","given":"Dare","non-dropping-particle":"","parse-names":false,"suffix":""},{"dropping-particle":"","family":"Ogunniyi","given":"Adebayo","non-dropping-particle":"","parse-names":false,"suffix":""}],"id":"ITEM-1","issued":{"date-parts":[["2019"]]},"page":"1-17","title":"Mother ’ s nutrition-related knowledge and child nutrition outcomes : Empirical evidence from Nigeria","type":"article-journal"},"uris":["http://www.mendeley.com/documents/?uuid=af331621-84b0-4be4-8e18-d9832bfb7211"]},{"id":"ITEM-2","itemData":{"DOI":"10.1186/s12905-016-0338-y","ISSN":"14726874","abstract":"Early childbearing influences women’s health. This study aims to examine the effects of socio-demographic factors on nutritional status of early childbearing mothers in Bangladesh based on Body Mass Index (BMI) as the indicator. Data was extracted from Bangladesh Demographic and Health Survey (BDHS)-2011. The survey was performed on 17,842 married women aged 15–49. We focused on early childbearing mothers (age ≤ 24, and who had delivered their first child ≤ 20). Mothers who were underweight (BMI ≤ 18.5 kg/m2) would be further classified into various grades of chronic energy deficiency (CED): mild (17.0 ≤ BMI &lt; 18.5 kg/m2), moderate (16.0 ≤ BMI &lt;17.0 kg/m2), and severe (BMI &lt; 16.0 kg/m2). Multiple logistic regression model was used to examine the effect of socio-demographic factors on nutritional status. Mean age of the mothers was 20.49 ± 2.37 years (ranged 15–24 years). The prevalence of underweight among early childbearing mothers was 32.1 % (urban 25 % and rural 35.1 %). Most of the underweight mothers had mild (62.2 %) CED, while the remaining had either moderate (25.9 %) or severe (11.9 %) CED. Multiple logistic regression analysis demonstrated that young mothers from rural areas, poor families, and those who were illiterate or with low level of education, working, and married to unemployed husband were at higher risk for being underweight. Young mothers who had non-caesarean delivered, delivered at home, or married at early age and had more than two children were also at higher risk for being underweight. The prevalence of underweight among early childbearing mothers in Bangladesh is very high (32.1 %), associated with the still common practice of teenage marriage. Education level, wealth index, occupation, place of residence, age at first marriage and parity were important predictors for their nutritional status. The government and non-government organizations should take initiatives to reduce the prevalence of underweight mothers in Bangladesh.","author":[{"dropping-particle":"","family":"Islam","given":"Ashraful","non-dropping-particle":"","parse-names":false,"suffix":""},{"dropping-particle":"","family":"Islam","given":"Nurul","non-dropping-particle":"","parse-names":false,"suffix":""},{"dropping-particle":"","family":"Bharati","given":"Premananda","non-dropping-particle":"","parse-names":false,"suffix":""},{"dropping-particle":"","family":"Aik","given":"Saw","non-dropping-particle":"","parse-names":false,"suffix":""},{"dropping-particle":"","family":"Hossain","given":"Golam","non-dropping-particle":"","parse-names":false,"suffix":""}],"container-title":"BMC Women's Health","id":"ITEM-2","issue":"1","issued":{"date-parts":[["2016","8","26"]]},"publisher":"BioMed Central Ltd.","title":"Socio-economic and demographic factors influencing nutritional status among early childbearing young mothers in Bangladesh","type":"article-journal","volume":"16"},"uris":["http://www.mendeley.com/documents/?uuid=7d9e65d6-a781-3148-b1fc-ccd8f72d8ddf"]},{"id":"ITEM-3","itemData":{"DOI":"10.1177/1473325016656047","author":[{"dropping-particle":"","family":"Aparicio","given":"Elizabeth M","non-dropping-particle":"","parse-names":false,"suffix":""},{"dropping-particle":"","family":"Gioia","given":"Deborah","non-dropping-particle":"","parse-names":false,"suffix":""},{"dropping-particle":"V","family":"Pecukonis","given":"Edward","non-dropping-particle":"","parse-names":false,"suffix":""}],"id":"ITEM-3","issued":{"date-parts":[["2018"]]},"title":"‘‘ I Can Get Through This and I Will Get Through This ’’: The unfolding journey of teenage motherhood in and beyond foster care","type":"article-journal"},"uris":["http://www.mendeley.com/documents/?uuid=0db2292f-df47-420c-989f-8359691f8954"]}],"mendeley":{"formattedCitation":"(Aparicio, Gioia, &amp; Pecukonis, 2018; Fadare, Id, Mavrotas, Akerele, &amp; Ogunniyi, 2019; Islam, Islam, Bharati, Aik, &amp; Hossain, 2016)","plainTextFormattedCitation":"(Aparicio, Gioia, &amp; Pecukonis, 2018; Fadare, Id, Mavrotas, Akerele, &amp; Ogunniyi, 2019; Islam, Islam, Bharati, Aik, &amp; Hossain, 2016)","previouslyFormattedCitation":"(Aparicio, Gioia, &amp; Pecukonis, 2018; Fadare, Id, Mavrotas, Akerele, &amp; Ogunniyi, 2019; Islam, Islam, Bharati, Aik, &amp; Hossain, 2016)"},"properties":{"noteIndex":0},"schema":"https://github.com/citation-style-language/schema/raw/master/csl-citation.json"}</w:instrText>
      </w:r>
      <w:r w:rsidRPr="00284D30">
        <w:rPr>
          <w:rFonts w:ascii="Arial" w:eastAsia="Arial" w:hAnsi="Arial" w:cs="Arial"/>
          <w:sz w:val="21"/>
          <w:szCs w:val="21"/>
        </w:rPr>
        <w:fldChar w:fldCharType="separate"/>
      </w:r>
      <w:r w:rsidRPr="00284D30">
        <w:rPr>
          <w:rFonts w:ascii="Arial" w:eastAsia="Arial" w:hAnsi="Arial" w:cs="Arial"/>
          <w:sz w:val="21"/>
          <w:szCs w:val="21"/>
        </w:rPr>
        <w:t>(Aparicio, Gioia, &amp; Pecukonis, 2018; Fadare, Id, Mavrotas, Akerele, &amp; Ogunniyi, 2019; Islam, Islam, Bharati, Aik, &amp; Hossain, 2016)</w:t>
      </w:r>
      <w:r w:rsidRPr="00284D30">
        <w:rPr>
          <w:rFonts w:ascii="Arial" w:eastAsia="Arial" w:hAnsi="Arial" w:cs="Arial"/>
          <w:sz w:val="21"/>
          <w:szCs w:val="21"/>
        </w:rPr>
        <w:fldChar w:fldCharType="end"/>
      </w:r>
      <w:r w:rsidRPr="00284D30">
        <w:rPr>
          <w:rFonts w:ascii="Arial" w:eastAsia="Arial" w:hAnsi="Arial" w:cs="Arial"/>
          <w:sz w:val="21"/>
          <w:szCs w:val="21"/>
        </w:rPr>
        <w:t>. Categorically, p</w:t>
      </w:r>
      <w:r w:rsidRPr="00284D30">
        <w:rPr>
          <w:rFonts w:ascii="Arial" w:eastAsia="Arial" w:hAnsi="Arial" w:cs="Arial"/>
          <w:sz w:val="21"/>
          <w:szCs w:val="21"/>
          <w:lang w:val="en-GB"/>
        </w:rPr>
        <w:t xml:space="preserve">ost-natal environments in low and middle income countries, inexperienced young mothers, lack of autonomy among adolescent mothers and poor health seeking behaviours contribute to poorer nutritional status and stunting among their children </w:t>
      </w:r>
      <w:r w:rsidRPr="00284D30">
        <w:rPr>
          <w:rFonts w:ascii="Arial" w:eastAsia="Arial" w:hAnsi="Arial" w:cs="Arial"/>
          <w:sz w:val="21"/>
          <w:szCs w:val="21"/>
          <w:lang w:val="en-GB"/>
        </w:rPr>
        <w:fldChar w:fldCharType="begin" w:fldLock="1"/>
      </w:r>
      <w:r w:rsidRPr="00284D30">
        <w:rPr>
          <w:rFonts w:ascii="Arial" w:eastAsia="Arial" w:hAnsi="Arial" w:cs="Arial"/>
          <w:sz w:val="21"/>
          <w:szCs w:val="21"/>
          <w:lang w:val="en-GB"/>
        </w:rPr>
        <w:instrText>ADDIN CSL_CITATION {"citationItems":[{"id":"ITEM-1","itemData":{"DOI":"10.1186/s13052-016-0280-5","ISSN":"1824-7288","author":[{"dropping-particle":"","family":"Wu","given":"Wei-ya","non-dropping-particle":"","parse-names":false,"suffix":""},{"dropping-particle":"","family":"Li","given":"Chi-rong","non-dropping-particle":"","parse-names":false,"suffix":""},{"dropping-particle":"","family":"Kuo","given":"Ching-pyng","non-dropping-particle":"","parse-names":false,"suffix":""},{"dropping-particle":"","family":"Chiang","given":"Yi-chen","non-dropping-particle":"","parse-names":false,"suffix":""},{"dropping-particle":"","family":"Lee","given":"Meng-chih","non-dropping-particle":"","parse-names":false,"suffix":""}],"container-title":"Italian Journal of Pediatrics","id":"ITEM-1","issued":{"date-parts":[["2016"]]},"page":"1-6","publisher":"Italian Journal of Pediatrics","title":"The growth and development of children born to adolescent mothers in Taiwan","type":"article-journal"},"uris":["http://www.mendeley.com/documents/?uuid=172b38bf-f318-4aee-a9e5-57dd901c205d"]}],"mendeley":{"formattedCitation":"(Wu, Li, Kuo, Chiang, &amp; Lee, 2016)","plainTextFormattedCitation":"(Wu, Li, Kuo, Chiang, &amp; Lee, 2016)","previouslyFormattedCitation":"(Wu, Li, Kuo, Chiang, &amp; Lee, 2016)"},"properties":{"noteIndex":0},"schema":"https://github.com/citation-style-language/schema/raw/master/csl-citation.json"}</w:instrText>
      </w:r>
      <w:r w:rsidRPr="00284D30">
        <w:rPr>
          <w:rFonts w:ascii="Arial" w:eastAsia="Arial" w:hAnsi="Arial" w:cs="Arial"/>
          <w:sz w:val="21"/>
          <w:szCs w:val="21"/>
          <w:lang w:val="en-GB"/>
        </w:rPr>
        <w:fldChar w:fldCharType="separate"/>
      </w:r>
      <w:r w:rsidRPr="00284D30">
        <w:rPr>
          <w:rFonts w:ascii="Arial" w:eastAsia="Arial" w:hAnsi="Arial" w:cs="Arial"/>
          <w:sz w:val="21"/>
          <w:szCs w:val="21"/>
          <w:lang w:val="en-GB"/>
        </w:rPr>
        <w:t>(Wu, Li, Kuo, Chiang, &amp; Lee, 2016)</w:t>
      </w:r>
      <w:r w:rsidRPr="00284D30">
        <w:rPr>
          <w:rFonts w:ascii="Arial" w:eastAsia="Arial" w:hAnsi="Arial" w:cs="Arial"/>
          <w:sz w:val="21"/>
          <w:szCs w:val="21"/>
        </w:rPr>
        <w:fldChar w:fldCharType="end"/>
      </w:r>
      <w:r w:rsidRPr="00284D30">
        <w:rPr>
          <w:rFonts w:ascii="Arial" w:eastAsia="Arial" w:hAnsi="Arial" w:cs="Arial"/>
          <w:sz w:val="21"/>
          <w:szCs w:val="21"/>
          <w:lang w:val="en-GB"/>
        </w:rPr>
        <w:t>.</w:t>
      </w:r>
    </w:p>
    <w:p w:rsidR="00284D30" w:rsidRPr="00284D30" w:rsidRDefault="00284D30" w:rsidP="00284D30">
      <w:pPr>
        <w:spacing w:line="276" w:lineRule="auto"/>
        <w:rPr>
          <w:rFonts w:ascii="Arial" w:eastAsia="Arial" w:hAnsi="Arial" w:cs="Arial"/>
          <w:sz w:val="21"/>
          <w:szCs w:val="21"/>
          <w:lang w:val="en-GB"/>
        </w:rPr>
      </w:pPr>
    </w:p>
    <w:p w:rsidR="00284D30" w:rsidRPr="00284D30" w:rsidRDefault="00284D30" w:rsidP="00284D30">
      <w:pPr>
        <w:spacing w:line="276" w:lineRule="auto"/>
        <w:rPr>
          <w:rFonts w:ascii="Arial" w:eastAsia="Arial" w:hAnsi="Arial" w:cs="Arial"/>
          <w:sz w:val="21"/>
          <w:szCs w:val="21"/>
        </w:rPr>
      </w:pPr>
      <w:r w:rsidRPr="00284D30">
        <w:rPr>
          <w:rFonts w:ascii="Arial" w:eastAsia="Arial" w:hAnsi="Arial" w:cs="Arial"/>
          <w:sz w:val="21"/>
          <w:szCs w:val="21"/>
          <w:lang w:val="en-GB"/>
        </w:rPr>
        <w:t xml:space="preserve">The growth and development of their children have been impacted by high mental stress which is associated with lack of social support (Huang </w:t>
      </w:r>
      <w:r w:rsidRPr="00284D30">
        <w:rPr>
          <w:rFonts w:ascii="Arial" w:eastAsia="Arial" w:hAnsi="Arial" w:cs="Arial"/>
          <w:i/>
          <w:sz w:val="21"/>
          <w:szCs w:val="21"/>
          <w:lang w:val="en-GB"/>
        </w:rPr>
        <w:t>et al</w:t>
      </w:r>
      <w:r w:rsidRPr="00284D30">
        <w:rPr>
          <w:rFonts w:ascii="Arial" w:eastAsia="Arial" w:hAnsi="Arial" w:cs="Arial"/>
          <w:sz w:val="21"/>
          <w:szCs w:val="21"/>
          <w:lang w:val="en-GB"/>
        </w:rPr>
        <w:t xml:space="preserve">., 2014). Studies have shown that these young mothers lack autonomy in decision making and most of them are from low socioeconomic status contributing to malnutrition which impacts negatively on the health and development of their children </w:t>
      </w:r>
      <w:r w:rsidRPr="00284D30">
        <w:rPr>
          <w:rFonts w:ascii="Arial" w:eastAsia="Arial" w:hAnsi="Arial" w:cs="Arial"/>
          <w:sz w:val="21"/>
          <w:szCs w:val="21"/>
          <w:lang w:val="en-GB"/>
        </w:rPr>
        <w:fldChar w:fldCharType="begin" w:fldLock="1"/>
      </w:r>
      <w:r w:rsidRPr="00284D30">
        <w:rPr>
          <w:rFonts w:ascii="Arial" w:eastAsia="Arial" w:hAnsi="Arial" w:cs="Arial"/>
          <w:sz w:val="21"/>
          <w:szCs w:val="21"/>
          <w:lang w:val="en-GB"/>
        </w:rPr>
        <w:instrText>ADDIN CSL_CITATION {"citationItems":[{"id":"ITEM-1","itemData":{"DOI":"10.1371/journal.pone.0178878","ISSN":"19326203","abstract":"© 2017 Nguyen et al. This is an open access article distributed under the terms of the Creative Commons Attribution License, which permits unrestricted use, distribution, and reproduction in any medium, provided the original author and source are credited. Little is known about nutrition and well-being indicators of pregnant adolescents and the availability and use of nutrition interventions delivered through maternal, newborn, and child health (MNCH) programs. This study compared the differences between pregnant adolescents and adult pregnant women in services received, and in maternal and child nutrition and health conditions. A survey of 2,000 recently delivered women with infants &lt;6 months of age was carried out in 20 sub-districts in Bangladesh where MNCH program is being implemented. Differences in service use and outcomes between pregnant adolescents and adult women were tested using multivariate regression models. The coverage of antenatal care and nutrition services was similar for adolescent and adult mothers. Compared to adult mothers, adolescent mothers had significantly fewer ownership of assets and lower decision making power. Adolescent mothers weighed significantly less than adult women (45.8 vs 47.1 kg, p = 0.001), and their body mass index was significantly lower (19.7 vs 21.3, p = 0.001). Adolescents recovered later and with greater difficulty after childbirth. Infants of adolescent mothers had significant lower height-for-age z-score (-0.89 vs -0.74, p = 0.04), lower weight-for age z-score (-1.21 vs -1.08, p = 0.02) and higher underweight prevalence (22.4% vs 17.9%, p = 0.04) compared to infants of adult women. In conclusion, this study confirms that adolescent pregnancy poses substantial risks for maternal and infant outcomes, and emphasizes that these risks are significant even where services during pregnancy are available and accessed. A focus on preventing adolescent pregnancy is imperative, while also strengthening health and nutrition services for all pregnant women, whether adult or adolescent.","author":[{"dropping-particle":"","family":"Nguyen","given":"Phuong Hong","non-dropping-particle":"","parse-names":false,"suffix":""},{"dropping-particle":"","family":"Sanghvi","given":"Tina","non-dropping-particle":"","parse-names":false,"suffix":""},{"dropping-particle":"","family":"Tran","given":"Lan Mai","non-dropping-particle":"","parse-names":false,"suffix":""},{"dropping-particle":"","family":"Afsana","given":"Kaosar","non-dropping-particle":"","parse-names":false,"suffix":""},{"dropping-particle":"","family":"Mahmud","given":"Zeba","non-dropping-particle":"","parse-names":false,"suffix":""},{"dropping-particle":"","family":"Aktar","given":"Bachera","non-dropping-particle":"","parse-names":false,"suffix":""},{"dropping-particle":"","family":"Haque","given":"Raisul","non-dropping-particle":"","parse-names":false,"suffix":""},{"dropping-particle":"","family":"Menon","given":"Purnima","non-dropping-particle":"","parse-names":false,"suffix":""}],"container-title":"PLoS ONE","id":"ITEM-1","issue":"6","issued":{"date-parts":[["2017","6","1"]]},"publisher":"Public Library of Science","title":"The nutrition and health risks faced by pregnant adolescents: Insights from a cross-sectional study in Bangladesh","type":"article-journal","volume":"12"},"uris":["http://www.mendeley.com/documents/?uuid=ebc01e9a-3e58-3790-8222-10c2685cd304"]},{"id":"ITEM-2","itemData":{"DOI":"10.1590/1678-98652018000100005","ISSN":"14155273","abstract":"ABSTRACT Objective To evaluate feeding styles of adolescent mothers and complementary feeding practices of their infants. Methods A cross-sectional study comparing a group of dyads of 50 adolescent mothers (ages 15 to 19) with 62 adult mothers (ages 24 to 44) and their infants (9 to 24 months) was performed. All mothers and infants were assisted by three basic health family units in the city of Recife, Brazil. Data were collected through a structured interview on socioeconomic conditions, maternal styles of feeding the child, and evaluation of infant feeding practices. The food styles were classified as responsive, authoritative, and passive, according to the adapted form of Carvalhaes, Perosa and Silveira of 2009. The frequency of food intake was calculated for six food groups (1. Bread and cereals; 2. Fruits and vegetables; 3. Meat, eggs, and beans; 4. Milk and dairy products; 5. Sugars, sweets, and fats; 6. Industrialized food). Children’s anthropometry and body mass index by age were classified into Z-score according to the World Health Organization Standard Curves, 2006. Results Adolescent mothers began complementary feeding more frequently before the seventh month (.=0,02), presented less responsive (.=0.04) and more authoritarian feeding styles (.=0.01), and their children received more foods with sugars, oils, and fats (.=0.02), and less meat, eggs, and beans (.=0.06) than the children of adult mothers. Conclusion Adolescent mothers adopt less responsive eating styles and offer more inadequate complementary feeding for their infants.RESUMO Objetivo Este artigo tem como objetivo avaliar os estilos alimentares adotados por mães adolescentes e as práticas e consumo alimentar dos seus filhos lactentes. Métodos Trata-se de estudo de corte transversal, comparando um grupo de díades de 50 mães adolescentes (15 a 19 anos) e outro de 62 mães adultas (24 a 44 anos) e seus filhos lactentes (9 a 24 meses), atendidos em três unidades de Saúde da Família da Cidade do Recife. As mães foram entrevistadas para obtenção de dados socioeconômicos e das práticas alimentares, avaliadas pelos Indicadores de Práticas Alimentares Infantis da Criança Pequena. Os estilos alimentares foram classificados em responsivo, autoritário e passivo, segundo formulário adaptado de Carvalhaes, Perosa e Silveira de 2009. Foi calculada a frequência de consumo alimentar para seis grupos de alimentos (1. Pães e cereais; 2. Frutas, legumes e verduras; 3. Carnes, miúdos, ovos e feijão; 4. …","author":[{"dropping-particle":"","family":"Costa","given":"Karla Adriana Oliveira","non-dropping-particle":"da","parse-names":false,"suffix":""},{"dropping-particle":"","family":"Antunes","given":"Margarida Maria de Castro","non-dropping-particle":"","parse-names":false,"suffix":""},{"dropping-particle":"","family":"Cabral","given":"Poliana Coelho","non-dropping-particle":"","parse-names":false,"suffix":""},{"dropping-particle":"","family":"Silva","given":"Giselia Alves Pontes","non-dropping-particle":"da","parse-names":false,"suffix":""}],"container-title":"Revista de Nutricao","id":"ITEM-2","issue":"1","issued":{"date-parts":[["2018","1","1"]]},"page":"49-58","publisher":"Revista de Nutricao","title":"Feeding style of adolescent mothers and complementary feeding practice of their infants","type":"article-journal","volume":"31"},"uris":["http://www.mendeley.com/documents/?uuid=a63214cb-1f78-33ab-8057-2df60befce7f"]}],"mendeley":{"formattedCitation":"(da Costa et al., 2018; Nguyen et al., 2017)","plainTextFormattedCitation":"(da Costa et al., 2018; Nguyen et al., 2017)","previouslyFormattedCitation":"(da Costa et al., 2018; Nguyen et al., 2017)"},"properties":{"noteIndex":0},"schema":"https://github.com/citation-style-language/schema/raw/master/csl-citation.json"}</w:instrText>
      </w:r>
      <w:r w:rsidRPr="00284D30">
        <w:rPr>
          <w:rFonts w:ascii="Arial" w:eastAsia="Arial" w:hAnsi="Arial" w:cs="Arial"/>
          <w:sz w:val="21"/>
          <w:szCs w:val="21"/>
          <w:lang w:val="en-GB"/>
        </w:rPr>
        <w:fldChar w:fldCharType="separate"/>
      </w:r>
      <w:r w:rsidRPr="00284D30">
        <w:rPr>
          <w:rFonts w:ascii="Arial" w:eastAsia="Arial" w:hAnsi="Arial" w:cs="Arial"/>
          <w:sz w:val="21"/>
          <w:szCs w:val="21"/>
          <w:lang w:val="en-GB"/>
        </w:rPr>
        <w:t>(da Costa et al., 2018; Nguyen et al., 2017)</w:t>
      </w:r>
      <w:r w:rsidRPr="00284D30">
        <w:rPr>
          <w:rFonts w:ascii="Arial" w:eastAsia="Arial" w:hAnsi="Arial" w:cs="Arial"/>
          <w:sz w:val="21"/>
          <w:szCs w:val="21"/>
        </w:rPr>
        <w:fldChar w:fldCharType="end"/>
      </w:r>
      <w:r w:rsidRPr="00284D30">
        <w:rPr>
          <w:rFonts w:ascii="Arial" w:eastAsia="Arial" w:hAnsi="Arial" w:cs="Arial"/>
          <w:sz w:val="21"/>
          <w:szCs w:val="21"/>
          <w:lang w:val="en-GB"/>
        </w:rPr>
        <w:t>.</w:t>
      </w:r>
    </w:p>
    <w:p w:rsidR="00284D30" w:rsidRPr="00284D30" w:rsidRDefault="00284D30" w:rsidP="00284D30">
      <w:pPr>
        <w:spacing w:line="276" w:lineRule="auto"/>
        <w:rPr>
          <w:rFonts w:ascii="Arial" w:eastAsia="Arial" w:hAnsi="Arial" w:cs="Arial"/>
          <w:sz w:val="21"/>
          <w:szCs w:val="21"/>
        </w:rPr>
      </w:pPr>
    </w:p>
    <w:p w:rsidR="00284D30" w:rsidRPr="00284D30" w:rsidRDefault="00284D30" w:rsidP="00284D30">
      <w:pPr>
        <w:spacing w:line="276" w:lineRule="auto"/>
        <w:rPr>
          <w:rFonts w:ascii="Arial" w:eastAsia="Arial" w:hAnsi="Arial" w:cs="Arial"/>
          <w:sz w:val="21"/>
          <w:szCs w:val="21"/>
        </w:rPr>
      </w:pPr>
      <w:r w:rsidRPr="00284D30">
        <w:rPr>
          <w:rFonts w:ascii="Arial" w:eastAsia="Arial" w:hAnsi="Arial" w:cs="Arial"/>
          <w:sz w:val="21"/>
          <w:szCs w:val="21"/>
        </w:rPr>
        <w:lastRenderedPageBreak/>
        <w:t xml:space="preserve">In Kenya, 66% of school dropout was associated with unintended teenage pregnancies with 59% of this pregnancies occurring among girls aged 15-19 years </w:t>
      </w:r>
      <w:r w:rsidRPr="00284D30">
        <w:rPr>
          <w:rFonts w:ascii="Arial" w:eastAsia="Arial" w:hAnsi="Arial" w:cs="Arial"/>
          <w:sz w:val="21"/>
          <w:szCs w:val="21"/>
        </w:rPr>
        <w:fldChar w:fldCharType="begin" w:fldLock="1"/>
      </w:r>
      <w:r w:rsidRPr="00284D30">
        <w:rPr>
          <w:rFonts w:ascii="Arial" w:eastAsia="Arial" w:hAnsi="Arial" w:cs="Arial"/>
          <w:sz w:val="21"/>
          <w:szCs w:val="21"/>
        </w:rPr>
        <w:instrText xml:space="preserve">ADDIN CSL_CITATION {"citationItems":[{"id":"ITEM-1","itemData":{"abstract":"SUMMARY By applying robust evidence, securing the support of decision makers, and engaging stakeholders, STEP UP enabled national and local decision makers to better understand the consequences of unintended pregnancy for adolescent girls' schooling in Homa Bay County, Kenya. Through this and subsequent research uptake, STEP UP has successfully contributed to several impacts that include: </w:instrText>
      </w:r>
      <w:r w:rsidRPr="00284D30">
        <w:rPr>
          <w:rFonts w:ascii="Arial" w:eastAsia="Arial" w:hAnsi="Arial" w:cs="Arial"/>
          <w:sz w:val="21"/>
          <w:szCs w:val="21"/>
        </w:rPr>
        <w:instrText xml:space="preserve"> A reversal of attitudes of school principals, students, decision makers, and community members away from traditional negative perceptions of teenage pregnancy and towards one of understanding and support </w:instrText>
      </w:r>
      <w:r w:rsidRPr="00284D30">
        <w:rPr>
          <w:rFonts w:ascii="Arial" w:eastAsia="Arial" w:hAnsi="Arial" w:cs="Arial"/>
          <w:sz w:val="21"/>
          <w:szCs w:val="21"/>
        </w:rPr>
        <w:instrText xml:space="preserve"> An increase in the proportion of out-of-school girls re-entering school </w:instrText>
      </w:r>
      <w:r w:rsidRPr="00284D30">
        <w:rPr>
          <w:rFonts w:ascii="Arial" w:eastAsia="Arial" w:hAnsi="Arial" w:cs="Arial"/>
          <w:sz w:val="21"/>
          <w:szCs w:val="21"/>
        </w:rPr>
        <w:instrText xml:space="preserve"> Multiple local innovations to support re-entry </w:instrText>
      </w:r>
      <w:r w:rsidRPr="00284D30">
        <w:rPr>
          <w:rFonts w:ascii="Arial" w:eastAsia="Arial" w:hAnsi="Arial" w:cs="Arial"/>
          <w:sz w:val="21"/>
          <w:szCs w:val="21"/>
        </w:rPr>
        <w:instrText> Generation of evidence that provided a basis for the drafting of a new parliamentary bill to support girls' re-entry into school KENYA: Helping adolescent mothers remain in school through strengthened implementation of school re-entry policies STEP UP generates policy-relevant research to promote an evidence-based approach for improving access to family planning and safe abortion. We work in Bangladesh, northern India, Ghana, Kenya, and Senegal. The goal of family planning and reproductive health operations research is to generate evidence that helps policies and programmes maximize access to and quality of services for women and their families. Yet the crucial step of ensuring the utilization of that evidence often receives inconsistent or inadequate attention. There is relatively little monitoring and reporting on whether and to what effect project results are utilized, or on the nature, process, and efficacy of the strategies employed to achieve this. The goal of this case study is to document an activity of the STEP UP research programme consortium which resulted in successful evidence utilization. This is to both demonstrate the positive impact STEP UP is having on family planning and reproductive health policies, as well as to document the process by which this was achieved so as to inform future research of successful strategies and lessons learned.","author":[{"dropping-particle":"","family":"Walgwe","given":"El","non-dropping-particle":"","parse-names":false,"suffix":""},{"dropping-particle":"","family":"Termini","given":"Nancy","non-dropping-particle":"","parse-names":false,"suffix":""},{"dropping-particle":"","family":"Birungi","given":"Harriet","non-dropping-particle":"","parse-names":false,"suffix":""},{"dropping-particle":"","family":"Undie","given":"Chi-Chi","non-dropping-particle":"","parse-names":false,"suffix":""}],"id":"ITEM-1","issue":"November","issued":{"date-parts":[["2016"]]},"title":"Kenya: Helping adolescent mothers remain in school through strengthened implementation of school re-entry policies","type":"article-journal"},"uris":["http://www.mendeley.com/documents/?uuid=dacca9f9-8e54-42f0-9527-092df042aa9a"]}],"mendeley":{"formattedCitation":"(Walgwe, Termini, Birungi, &amp; Undie, 2016)","plainTextFormattedCitation":"(Walgwe, Termini, Birungi, &amp; Undie, 2016)","previouslyFormattedCitation":"(Walgwe, Termini, Birungi, &amp; Undie, 2016)"},"properties":{"noteIndex":0},"schema":"https://github.com/citation-style-language/schema/raw/master/csl-citation.json"}</w:instrText>
      </w:r>
      <w:r w:rsidRPr="00284D30">
        <w:rPr>
          <w:rFonts w:ascii="Arial" w:eastAsia="Arial" w:hAnsi="Arial" w:cs="Arial"/>
          <w:sz w:val="21"/>
          <w:szCs w:val="21"/>
        </w:rPr>
        <w:fldChar w:fldCharType="separate"/>
      </w:r>
      <w:r w:rsidRPr="00284D30">
        <w:rPr>
          <w:rFonts w:ascii="Arial" w:eastAsia="Arial" w:hAnsi="Arial" w:cs="Arial"/>
          <w:sz w:val="21"/>
          <w:szCs w:val="21"/>
        </w:rPr>
        <w:t>(Walgwe, Termini, Birungi, &amp; Undie, 2016)</w:t>
      </w:r>
      <w:r w:rsidRPr="00284D30">
        <w:rPr>
          <w:rFonts w:ascii="Arial" w:eastAsia="Arial" w:hAnsi="Arial" w:cs="Arial"/>
          <w:sz w:val="21"/>
          <w:szCs w:val="21"/>
        </w:rPr>
        <w:fldChar w:fldCharType="end"/>
      </w:r>
      <w:r w:rsidRPr="00284D30">
        <w:rPr>
          <w:rFonts w:ascii="Arial" w:eastAsia="Arial" w:hAnsi="Arial" w:cs="Arial"/>
          <w:sz w:val="21"/>
          <w:szCs w:val="21"/>
        </w:rPr>
        <w:t xml:space="preserve">. Further, a study by </w:t>
      </w:r>
      <w:r w:rsidRPr="00284D30">
        <w:rPr>
          <w:rFonts w:ascii="Arial" w:eastAsia="Arial" w:hAnsi="Arial" w:cs="Arial"/>
          <w:sz w:val="21"/>
          <w:szCs w:val="21"/>
        </w:rPr>
        <w:fldChar w:fldCharType="begin" w:fldLock="1"/>
      </w:r>
      <w:r w:rsidRPr="00284D30">
        <w:rPr>
          <w:rFonts w:ascii="Arial" w:eastAsia="Arial" w:hAnsi="Arial" w:cs="Arial"/>
          <w:sz w:val="21"/>
          <w:szCs w:val="21"/>
        </w:rPr>
        <w:instrText>ADDIN CSL_CITATION {"citationItems":[{"id":"ITEM-1","itemData":{"author":[{"dropping-particle":"","family":"Concerns","given":"Development","non-dropping-particle":"","parse-names":false,"suffix":""}],"id":"ITEM-1","issue":"October","issued":{"date-parts":[["2017"]]},"page":"52-64","title":"International Journal of Social Influence of Early Marriage on the Care of Infants among Adolescent Mothers in Kiserian","type":"article-journal","volume":"1"},"uris":["http://www.mendeley.com/documents/?uuid=ef604e17-3c6f-4cb9-aee6-0a9a16cfecc8"]}],"mendeley":{"formattedCitation":"(Concerns, 2017)","plainTextFormattedCitation":"(Concerns, 2017)","previouslyFormattedCitation":"(Concerns, 2017)"},"properties":{"noteIndex":0},"schema":"https://github.com/citation-style-language/schema/raw/master/csl-citation.json"}</w:instrText>
      </w:r>
      <w:r w:rsidRPr="00284D30">
        <w:rPr>
          <w:rFonts w:ascii="Arial" w:eastAsia="Arial" w:hAnsi="Arial" w:cs="Arial"/>
          <w:sz w:val="21"/>
          <w:szCs w:val="21"/>
        </w:rPr>
        <w:fldChar w:fldCharType="separate"/>
      </w:r>
      <w:r w:rsidRPr="00284D30">
        <w:rPr>
          <w:rFonts w:ascii="Arial" w:eastAsia="Arial" w:hAnsi="Arial" w:cs="Arial"/>
          <w:sz w:val="21"/>
          <w:szCs w:val="21"/>
        </w:rPr>
        <w:t>(Concerns, 2017)</w:t>
      </w:r>
      <w:r w:rsidRPr="00284D30">
        <w:rPr>
          <w:rFonts w:ascii="Arial" w:eastAsia="Arial" w:hAnsi="Arial" w:cs="Arial"/>
          <w:sz w:val="21"/>
          <w:szCs w:val="21"/>
        </w:rPr>
        <w:fldChar w:fldCharType="end"/>
      </w:r>
      <w:r w:rsidRPr="00284D30">
        <w:rPr>
          <w:rFonts w:ascii="Arial" w:eastAsia="Arial" w:hAnsi="Arial" w:cs="Arial"/>
          <w:sz w:val="21"/>
          <w:szCs w:val="21"/>
        </w:rPr>
        <w:t xml:space="preserve"> in Kajiado suggests that young mothers are not equipped to take care of their children and thus poor health outcomes of their children. Despite these effects of young motherhood on demographic and socio-economic characteristics on the infant’s nutrition, studies showing the effects among infants below one year among adolescent mothers are limited.</w:t>
      </w:r>
    </w:p>
    <w:p w:rsidR="00C322FF" w:rsidRDefault="00C322FF">
      <w:pPr>
        <w:spacing w:line="161" w:lineRule="exact"/>
        <w:rPr>
          <w:sz w:val="20"/>
          <w:szCs w:val="20"/>
        </w:rPr>
      </w:pPr>
    </w:p>
    <w:p w:rsidR="00C322FF" w:rsidRDefault="00B77746">
      <w:pPr>
        <w:ind w:left="500"/>
        <w:rPr>
          <w:sz w:val="20"/>
          <w:szCs w:val="20"/>
        </w:rPr>
      </w:pPr>
      <w:r>
        <w:rPr>
          <w:rFonts w:ascii="Arial" w:eastAsia="Arial" w:hAnsi="Arial" w:cs="Arial"/>
          <w:i/>
          <w:iCs/>
          <w:sz w:val="24"/>
          <w:szCs w:val="24"/>
        </w:rPr>
        <w:t xml:space="preserve">4.2 </w:t>
      </w:r>
      <w:r w:rsidR="00284D30" w:rsidRPr="00284D30">
        <w:rPr>
          <w:rFonts w:ascii="Arial" w:eastAsia="Arial" w:hAnsi="Arial" w:cs="Arial"/>
          <w:i/>
          <w:iCs/>
          <w:sz w:val="24"/>
          <w:szCs w:val="24"/>
        </w:rPr>
        <w:t>Infant feeding pra</w:t>
      </w:r>
      <w:r w:rsidR="00284D30">
        <w:rPr>
          <w:rFonts w:ascii="Arial" w:eastAsia="Arial" w:hAnsi="Arial" w:cs="Arial"/>
          <w:i/>
          <w:iCs/>
          <w:sz w:val="24"/>
          <w:szCs w:val="24"/>
        </w:rPr>
        <w:t>ctices</w:t>
      </w:r>
    </w:p>
    <w:p w:rsidR="00C322FF" w:rsidRDefault="00C322FF">
      <w:pPr>
        <w:spacing w:line="240" w:lineRule="exact"/>
        <w:rPr>
          <w:sz w:val="20"/>
          <w:szCs w:val="20"/>
        </w:rPr>
      </w:pPr>
    </w:p>
    <w:p w:rsidR="00284D30" w:rsidRDefault="00284D30">
      <w:pPr>
        <w:ind w:left="140" w:right="40" w:firstLine="360"/>
        <w:jc w:val="both"/>
        <w:rPr>
          <w:rFonts w:ascii="Arial" w:eastAsia="Arial" w:hAnsi="Arial" w:cs="Arial"/>
        </w:rPr>
      </w:pPr>
      <w:r w:rsidRPr="00284D30">
        <w:rPr>
          <w:rFonts w:ascii="Arial" w:eastAsia="Arial" w:hAnsi="Arial" w:cs="Arial"/>
        </w:rPr>
        <w:t xml:space="preserve">Infant feeding practices for the first year should be multidimensional and be able to support the growing requirements of the infant. These dimensions include initiating of breastfeeding within one hour of birth, exclusive breastfeeding for the first six months of life and safe introduction of age-appropriate feeding of solid, semi-solid and soft food from 6 months of age. Optimal breastfeeding practices and complementary feeding could prevent one fifth of under 5 child mortality </w:t>
      </w:r>
      <w:r w:rsidRPr="00284D30">
        <w:rPr>
          <w:rFonts w:ascii="Arial" w:eastAsia="Arial" w:hAnsi="Arial" w:cs="Arial"/>
        </w:rPr>
        <w:fldChar w:fldCharType="begin" w:fldLock="1"/>
      </w:r>
      <w:r w:rsidRPr="00284D30">
        <w:rPr>
          <w:rFonts w:ascii="Arial" w:eastAsia="Arial" w:hAnsi="Arial" w:cs="Arial"/>
        </w:rPr>
        <w:instrText>ADDIN CSL_CITATION {"citationItems":[{"id":"ITEM-1","itemData":{"ISBN":"9789280646863","abstract":"\"April 2013\"--Page opposite title page. \"United Nations Publication Sales No.: E.13. XX,4.\" \"UNICEF's 2009 report Tracking Progress on Child and Maternal Nutrition drew attention to the impact of high levels of undernutrition on child survival, growth and development and their social and economic toll on nations. It described the state of nutrition programmes worldwide and argued for improving and expanding delivery of key nutrition interventions during the critical 1,000-day window covering a woman's pregnancy and the first two years of her child's life, when rapid physical and mental development occurs. This report builds on those earlier findings by highlighting new developments and demonstrating that efforts to scale up nutrition programmes are working, benefiting children in many countries.\"--Page 1. 1. Introduction -- 2. Causes and consequences of undernutrition -- 3. Current status of nutrition -- 4. Interventions to address stunting and other forms of undernutrition -- 5. It can be done: success stories in scaling up nutrition -- 6. New developments in global partnerships -- 7. The way forward.","author":[{"dropping-particle":"","family":"UNICEF","given":"","non-dropping-particle":"","parse-names":false,"suffix":""}],"id":"ITEM-1","issued":{"date-parts":[["0"]]},"number-of-pages":"124","title":"Improving child nutrition : the achievable imperative for global progress","type":"book"},"uris":["http://www.mendeley.com/documents/?uuid=adcdd71c-b904-344e-b032-70c677738489"]}],"mendeley":{"formattedCitation":"(UNICEF, n.d.)","plainTextFormattedCitation":"(UNICEF, n.d.)","previouslyFormattedCitation":"(UNICEF, n.d.)"},"properties":{"noteIndex":0},"schema":"https://github.com/citation-style-language/schema/raw/master/csl-citation.json"}</w:instrText>
      </w:r>
      <w:r w:rsidRPr="00284D30">
        <w:rPr>
          <w:rFonts w:ascii="Arial" w:eastAsia="Arial" w:hAnsi="Arial" w:cs="Arial"/>
        </w:rPr>
        <w:fldChar w:fldCharType="separate"/>
      </w:r>
      <w:r w:rsidRPr="00284D30">
        <w:rPr>
          <w:rFonts w:ascii="Arial" w:eastAsia="Arial" w:hAnsi="Arial" w:cs="Arial"/>
        </w:rPr>
        <w:t>(UNICEF, 2013)</w:t>
      </w:r>
      <w:r w:rsidRPr="00284D30">
        <w:rPr>
          <w:rFonts w:ascii="Arial" w:eastAsia="Arial" w:hAnsi="Arial" w:cs="Arial"/>
        </w:rPr>
        <w:fldChar w:fldCharType="end"/>
      </w:r>
      <w:r w:rsidRPr="00284D30">
        <w:rPr>
          <w:rFonts w:ascii="Arial" w:eastAsia="Arial" w:hAnsi="Arial" w:cs="Arial"/>
        </w:rPr>
        <w:t xml:space="preserve">. Inappropriate feeding has contributed to 55% of diarrhea and respiratory infections among infants </w:t>
      </w:r>
      <w:r w:rsidRPr="00284D30">
        <w:rPr>
          <w:rFonts w:ascii="Arial" w:eastAsia="Arial" w:hAnsi="Arial" w:cs="Arial"/>
        </w:rPr>
        <w:fldChar w:fldCharType="begin" w:fldLock="1"/>
      </w:r>
      <w:r w:rsidRPr="00284D30">
        <w:rPr>
          <w:rFonts w:ascii="Arial" w:eastAsia="Arial" w:hAnsi="Arial" w:cs="Arial"/>
        </w:rPr>
        <w:instrText>ADDIN CSL_CITATION {"citationItems":[{"id":"ITEM-1","itemData":{"ISBN":"9789241565585","abstract":"The World Health Statistics series is WHO's annual compilation of health statistics for its 194 member states. World health statistics 2018 focuses on the health and health-related Sustainable Development Goals (SDGs) and associated targets by bringing together data on a wide range of health-related SDG indicators. It also links to the three SDG-aligned strategic priorities of the WHO's 13th General Programme of Work, 2019-2023. World health statistics 2018 is organised into three parts. First, in order to improve understanding and interpretation of the data presented, Part 1 outlines the different types of data used and provides an overview of their compilation, processing and analysis. The resulting statistics are then publicised by WHO through its flagship products such as the World Health Statistics series. In Part 2, summaries are provided of the current status of selected health-related SDG indicators at global and regional levels, based on data available as of early 2018. In Part 3, each of these three strategic priorities of achieving universal health coverage (UHC), addressing health emergencies and promoting healthier populations are illustrated through the use of highlight stories. In Annexes A and B, country-level statistics are presented for selected health-related SDG indicators. Annex B presents statistics at WHO regional and global levels.","author":[{"dropping-particle":"","family":"World Health Organization.","given":"","non-dropping-particle":"","parse-names":false,"suffix":""}],"id":"ITEM-1","issued":{"date-parts":[["0"]]},"number-of-pages":"86","title":"World Health Statistics 2018 : monitoring health for the SDGs : sustainable development goals.","type":"book"},"uris":["http://www.mendeley.com/documents/?uuid=314f0d0e-426f-3841-8fff-2b25b15c7aa5"]}],"mendeley":{"formattedCitation":"(World Health Organization., n.d.)","plainTextFormattedCitation":"(World Health Organization., n.d.)","previouslyFormattedCitation":"(World Health Organization., n.d.)"},"properties":{"noteIndex":0},"schema":"https://github.com/citation-style-language/schema/raw/master/csl-citation.json"}</w:instrText>
      </w:r>
      <w:r w:rsidRPr="00284D30">
        <w:rPr>
          <w:rFonts w:ascii="Arial" w:eastAsia="Arial" w:hAnsi="Arial" w:cs="Arial"/>
        </w:rPr>
        <w:fldChar w:fldCharType="separate"/>
      </w:r>
      <w:r w:rsidRPr="00284D30">
        <w:rPr>
          <w:rFonts w:ascii="Arial" w:eastAsia="Arial" w:hAnsi="Arial" w:cs="Arial"/>
        </w:rPr>
        <w:t>(WHO, 2018)</w:t>
      </w:r>
      <w:r w:rsidRPr="00284D30">
        <w:rPr>
          <w:rFonts w:ascii="Arial" w:eastAsia="Arial" w:hAnsi="Arial" w:cs="Arial"/>
        </w:rPr>
        <w:fldChar w:fldCharType="end"/>
      </w:r>
    </w:p>
    <w:p w:rsidR="00284D30" w:rsidRDefault="00284D30">
      <w:pPr>
        <w:ind w:left="140" w:right="40" w:firstLine="360"/>
        <w:jc w:val="both"/>
        <w:rPr>
          <w:rFonts w:ascii="Arial" w:eastAsia="Arial" w:hAnsi="Arial" w:cs="Arial"/>
        </w:rPr>
      </w:pPr>
    </w:p>
    <w:p w:rsidR="00284D30" w:rsidRDefault="00284D30">
      <w:pPr>
        <w:ind w:left="140" w:right="40" w:firstLine="360"/>
        <w:jc w:val="both"/>
        <w:rPr>
          <w:rFonts w:ascii="Arial" w:eastAsia="Arial" w:hAnsi="Arial" w:cs="Arial"/>
        </w:rPr>
      </w:pPr>
    </w:p>
    <w:p w:rsidR="00284D30" w:rsidRPr="00284D30" w:rsidRDefault="00284D30" w:rsidP="00284D30">
      <w:pPr>
        <w:spacing w:line="334" w:lineRule="exact"/>
        <w:rPr>
          <w:rFonts w:ascii="Arial" w:eastAsia="Arial" w:hAnsi="Arial" w:cs="Arial"/>
          <w:sz w:val="24"/>
          <w:szCs w:val="24"/>
        </w:rPr>
      </w:pPr>
      <w:r w:rsidRPr="00284D30">
        <w:rPr>
          <w:rFonts w:ascii="Arial" w:eastAsia="Arial" w:hAnsi="Arial" w:cs="Arial"/>
          <w:sz w:val="24"/>
          <w:szCs w:val="24"/>
        </w:rPr>
        <w:t xml:space="preserve">Results of studies on infant feeding among adolescent mothers have shown that inappropriate feeding practices poses a lot of challenges because the mother is not mature enough to make the right decision for herself and both for her infant (Smith </w:t>
      </w:r>
      <w:r w:rsidRPr="00284D30">
        <w:rPr>
          <w:rFonts w:ascii="Arial" w:eastAsia="Arial" w:hAnsi="Arial" w:cs="Arial"/>
          <w:i/>
          <w:sz w:val="24"/>
          <w:szCs w:val="24"/>
        </w:rPr>
        <w:t>et al.,</w:t>
      </w:r>
      <w:r w:rsidRPr="00284D30">
        <w:rPr>
          <w:rFonts w:ascii="Arial" w:eastAsia="Arial" w:hAnsi="Arial" w:cs="Arial"/>
          <w:sz w:val="24"/>
          <w:szCs w:val="24"/>
        </w:rPr>
        <w:t xml:space="preserve">2012; Jama </w:t>
      </w:r>
      <w:r w:rsidRPr="00284D30">
        <w:rPr>
          <w:rFonts w:ascii="Arial" w:eastAsia="Arial" w:hAnsi="Arial" w:cs="Arial"/>
          <w:i/>
          <w:sz w:val="24"/>
          <w:szCs w:val="24"/>
        </w:rPr>
        <w:t>et al.,</w:t>
      </w:r>
      <w:r w:rsidRPr="00284D30">
        <w:rPr>
          <w:rFonts w:ascii="Arial" w:eastAsia="Arial" w:hAnsi="Arial" w:cs="Arial"/>
          <w:sz w:val="24"/>
          <w:szCs w:val="24"/>
        </w:rPr>
        <w:t xml:space="preserve"> 2018 and Tucker </w:t>
      </w:r>
      <w:r w:rsidRPr="00284D30">
        <w:rPr>
          <w:rFonts w:ascii="Arial" w:eastAsia="Arial" w:hAnsi="Arial" w:cs="Arial"/>
          <w:i/>
          <w:sz w:val="24"/>
          <w:szCs w:val="24"/>
        </w:rPr>
        <w:t>et al.,</w:t>
      </w:r>
      <w:r w:rsidRPr="00284D30">
        <w:rPr>
          <w:rFonts w:ascii="Arial" w:eastAsia="Arial" w:hAnsi="Arial" w:cs="Arial"/>
          <w:sz w:val="24"/>
          <w:szCs w:val="24"/>
        </w:rPr>
        <w:t xml:space="preserve">2012). In a comparison between infant feeding practices among adolescent mothers and adult mothers, the infants of adolescent mother were found to have poor infant feeding practices than their counterparts (Hong </w:t>
      </w:r>
      <w:r w:rsidRPr="00284D30">
        <w:rPr>
          <w:rFonts w:ascii="Arial" w:eastAsia="Arial" w:hAnsi="Arial" w:cs="Arial"/>
          <w:i/>
          <w:sz w:val="24"/>
          <w:szCs w:val="24"/>
        </w:rPr>
        <w:t>et al.,</w:t>
      </w:r>
      <w:r w:rsidRPr="00284D30">
        <w:rPr>
          <w:rFonts w:ascii="Arial" w:eastAsia="Arial" w:hAnsi="Arial" w:cs="Arial"/>
          <w:sz w:val="24"/>
          <w:szCs w:val="24"/>
        </w:rPr>
        <w:t xml:space="preserve"> 2017).</w:t>
      </w:r>
    </w:p>
    <w:p w:rsidR="00C322FF" w:rsidRDefault="00C322FF">
      <w:pPr>
        <w:spacing w:line="334" w:lineRule="exact"/>
        <w:rPr>
          <w:sz w:val="20"/>
          <w:szCs w:val="20"/>
        </w:rPr>
      </w:pPr>
    </w:p>
    <w:p w:rsidR="00C322FF" w:rsidRDefault="00B77746">
      <w:pPr>
        <w:ind w:left="500"/>
        <w:rPr>
          <w:sz w:val="20"/>
          <w:szCs w:val="20"/>
        </w:rPr>
      </w:pPr>
      <w:r>
        <w:rPr>
          <w:rFonts w:ascii="Arial" w:eastAsia="Arial" w:hAnsi="Arial" w:cs="Arial"/>
          <w:b/>
          <w:bCs/>
          <w:sz w:val="28"/>
          <w:szCs w:val="28"/>
        </w:rPr>
        <w:t>5. Methodology</w:t>
      </w:r>
    </w:p>
    <w:p w:rsidR="00C322FF" w:rsidRDefault="00C322FF">
      <w:pPr>
        <w:spacing w:line="206" w:lineRule="exact"/>
        <w:rPr>
          <w:sz w:val="20"/>
          <w:szCs w:val="20"/>
        </w:rPr>
      </w:pPr>
    </w:p>
    <w:p w:rsidR="00C322FF" w:rsidRDefault="00FA5E09" w:rsidP="00FA5E09">
      <w:pPr>
        <w:rPr>
          <w:sz w:val="20"/>
          <w:szCs w:val="20"/>
        </w:rPr>
      </w:pPr>
      <w:r>
        <w:rPr>
          <w:rFonts w:ascii="Arial" w:eastAsia="Arial" w:hAnsi="Arial" w:cs="Arial"/>
          <w:i/>
          <w:iCs/>
          <w:sz w:val="24"/>
          <w:szCs w:val="24"/>
        </w:rPr>
        <w:t xml:space="preserve">5.1 </w:t>
      </w:r>
      <w:r w:rsidR="00B77746">
        <w:rPr>
          <w:rFonts w:ascii="Arial" w:eastAsia="Arial" w:hAnsi="Arial" w:cs="Arial"/>
          <w:i/>
          <w:iCs/>
          <w:sz w:val="24"/>
          <w:szCs w:val="24"/>
        </w:rPr>
        <w:t>Research Design</w:t>
      </w:r>
    </w:p>
    <w:p w:rsidR="00C322FF" w:rsidRDefault="00C322FF">
      <w:pPr>
        <w:spacing w:line="240" w:lineRule="exact"/>
        <w:rPr>
          <w:sz w:val="20"/>
          <w:szCs w:val="20"/>
        </w:rPr>
      </w:pPr>
    </w:p>
    <w:p w:rsidR="00284D30" w:rsidRPr="00284D30" w:rsidRDefault="00284D30" w:rsidP="00284D30">
      <w:pPr>
        <w:spacing w:line="180" w:lineRule="exact"/>
        <w:rPr>
          <w:rFonts w:ascii="Arial" w:eastAsia="Arial" w:hAnsi="Arial" w:cs="Arial"/>
          <w:b/>
          <w:bCs/>
        </w:rPr>
      </w:pPr>
    </w:p>
    <w:p w:rsidR="00284D30" w:rsidRPr="00284D30" w:rsidRDefault="00284D30" w:rsidP="00284D30">
      <w:pPr>
        <w:spacing w:line="276" w:lineRule="auto"/>
        <w:rPr>
          <w:rFonts w:ascii="Arial" w:eastAsia="Arial" w:hAnsi="Arial" w:cs="Arial"/>
        </w:rPr>
      </w:pPr>
      <w:r w:rsidRPr="00284D30">
        <w:rPr>
          <w:rFonts w:ascii="Arial" w:eastAsia="Arial" w:hAnsi="Arial" w:cs="Arial"/>
        </w:rPr>
        <w:t xml:space="preserve">The study employed a descriptive cross-sectional study design to assess dietary practices, health and nutrition status of infants of adolescent mothers. This study design was used because it provides a snapshot of information about the situation at hand at one specific time and the characteristics of the status of study population. It also follows a systematic way of investigation with questions that have measurable variables with the aim of explaining, predicting or controlling (Ncklicek, 2012). </w:t>
      </w:r>
    </w:p>
    <w:p w:rsidR="00C322FF" w:rsidRDefault="00C322FF">
      <w:pPr>
        <w:spacing w:line="180" w:lineRule="exact"/>
        <w:rPr>
          <w:sz w:val="20"/>
          <w:szCs w:val="20"/>
        </w:rPr>
      </w:pPr>
    </w:p>
    <w:p w:rsidR="00C322FF" w:rsidRDefault="00FA5E09" w:rsidP="00FA5E09">
      <w:pPr>
        <w:rPr>
          <w:sz w:val="20"/>
          <w:szCs w:val="20"/>
        </w:rPr>
      </w:pPr>
      <w:r>
        <w:rPr>
          <w:rFonts w:ascii="Arial" w:eastAsia="Arial" w:hAnsi="Arial" w:cs="Arial"/>
          <w:i/>
          <w:iCs/>
          <w:sz w:val="24"/>
          <w:szCs w:val="24"/>
        </w:rPr>
        <w:t>5.2</w:t>
      </w:r>
      <w:r w:rsidR="00B77746">
        <w:rPr>
          <w:rFonts w:ascii="Arial" w:eastAsia="Arial" w:hAnsi="Arial" w:cs="Arial"/>
          <w:i/>
          <w:iCs/>
          <w:sz w:val="24"/>
          <w:szCs w:val="24"/>
        </w:rPr>
        <w:t xml:space="preserve"> Location, Participants and Duration</w:t>
      </w:r>
    </w:p>
    <w:p w:rsidR="00C322FF" w:rsidRDefault="00C322FF">
      <w:pPr>
        <w:spacing w:line="240" w:lineRule="exact"/>
        <w:rPr>
          <w:sz w:val="20"/>
          <w:szCs w:val="20"/>
        </w:rPr>
      </w:pPr>
    </w:p>
    <w:p w:rsidR="00FA5E09" w:rsidRPr="00FA5E09" w:rsidRDefault="00FA5E09" w:rsidP="00FA5E09">
      <w:pPr>
        <w:spacing w:line="276" w:lineRule="auto"/>
        <w:rPr>
          <w:rFonts w:ascii="Arial" w:eastAsia="Arial" w:hAnsi="Arial" w:cs="Arial"/>
        </w:rPr>
      </w:pPr>
      <w:r w:rsidRPr="00FA5E09">
        <w:rPr>
          <w:rFonts w:ascii="Arial" w:eastAsia="Arial" w:hAnsi="Arial" w:cs="Arial"/>
        </w:rPr>
        <w:t>The study was conducted in Transmara West Sub County which is divided into six divisions; Kilgoris, Keyian, Kirindon, Angata and Pirrar. Transmara West Sub County is within Narok County. The sub county was purposively selected because of the high teenage pregnancies and also poor nutrition status of the infants (County health report, 2018).</w:t>
      </w:r>
      <w:r w:rsidRPr="00FA5E09">
        <w:rPr>
          <w:rFonts w:eastAsia="Times New Roman"/>
          <w:sz w:val="24"/>
          <w:szCs w:val="24"/>
        </w:rPr>
        <w:t xml:space="preserve"> </w:t>
      </w:r>
      <w:r w:rsidRPr="00FA5E09">
        <w:rPr>
          <w:rFonts w:ascii="Arial" w:eastAsia="Arial" w:hAnsi="Arial" w:cs="Arial"/>
        </w:rPr>
        <w:t>Infants who were aged between 0-11 months at the time of study and were born to an adolescent mother were included in the study. The adolescent mother was also aged 12-18 years and was attending the selected health facility. They were residents of Transmara West Sub-county and assented to participate in the study.</w:t>
      </w:r>
    </w:p>
    <w:p w:rsidR="00C322FF" w:rsidRDefault="00FA5E09" w:rsidP="00FA5E09">
      <w:pPr>
        <w:spacing w:line="276" w:lineRule="auto"/>
        <w:rPr>
          <w:sz w:val="20"/>
          <w:szCs w:val="20"/>
        </w:rPr>
      </w:pPr>
      <w:r>
        <w:rPr>
          <w:rFonts w:ascii="Arial" w:eastAsia="Arial" w:hAnsi="Arial" w:cs="Arial"/>
        </w:rPr>
        <w:t>The study was undertaken within a three month period of February, March, April 2019.</w:t>
      </w:r>
    </w:p>
    <w:p w:rsidR="00FA5E09" w:rsidRDefault="00FA5E09">
      <w:pPr>
        <w:ind w:left="500"/>
        <w:rPr>
          <w:rFonts w:ascii="Arial" w:eastAsia="Arial" w:hAnsi="Arial" w:cs="Arial"/>
          <w:b/>
          <w:bCs/>
          <w:sz w:val="28"/>
          <w:szCs w:val="28"/>
        </w:rPr>
      </w:pPr>
    </w:p>
    <w:p w:rsidR="00A77A8B" w:rsidRDefault="00A77A8B">
      <w:pPr>
        <w:ind w:left="500"/>
        <w:rPr>
          <w:rFonts w:ascii="Arial" w:eastAsia="Arial" w:hAnsi="Arial" w:cs="Arial"/>
          <w:b/>
          <w:bCs/>
          <w:sz w:val="28"/>
          <w:szCs w:val="28"/>
        </w:rPr>
      </w:pPr>
    </w:p>
    <w:p w:rsidR="00A77A8B" w:rsidRDefault="00A77A8B">
      <w:pPr>
        <w:ind w:left="500"/>
        <w:rPr>
          <w:rFonts w:ascii="Arial" w:eastAsia="Arial" w:hAnsi="Arial" w:cs="Arial"/>
          <w:b/>
          <w:bCs/>
          <w:sz w:val="28"/>
          <w:szCs w:val="28"/>
        </w:rPr>
      </w:pPr>
    </w:p>
    <w:p w:rsidR="00C322FF" w:rsidRDefault="00B77746">
      <w:pPr>
        <w:ind w:left="500"/>
        <w:rPr>
          <w:sz w:val="20"/>
          <w:szCs w:val="20"/>
        </w:rPr>
      </w:pPr>
      <w:r>
        <w:rPr>
          <w:rFonts w:ascii="Arial" w:eastAsia="Arial" w:hAnsi="Arial" w:cs="Arial"/>
          <w:b/>
          <w:bCs/>
          <w:sz w:val="28"/>
          <w:szCs w:val="28"/>
        </w:rPr>
        <w:lastRenderedPageBreak/>
        <w:t>6. Results</w:t>
      </w:r>
    </w:p>
    <w:p w:rsidR="00C322FF" w:rsidRDefault="00C322FF">
      <w:pPr>
        <w:spacing w:line="369" w:lineRule="exact"/>
        <w:rPr>
          <w:sz w:val="20"/>
          <w:szCs w:val="20"/>
        </w:rPr>
      </w:pPr>
    </w:p>
    <w:p w:rsidR="00C322FF" w:rsidRDefault="00B77746">
      <w:pPr>
        <w:spacing w:line="267" w:lineRule="auto"/>
        <w:ind w:left="860" w:right="80" w:hanging="359"/>
        <w:rPr>
          <w:sz w:val="20"/>
          <w:szCs w:val="20"/>
        </w:rPr>
      </w:pPr>
      <w:r>
        <w:rPr>
          <w:rFonts w:ascii="Arial" w:eastAsia="Arial" w:hAnsi="Arial" w:cs="Arial"/>
          <w:i/>
          <w:iCs/>
          <w:sz w:val="24"/>
          <w:szCs w:val="24"/>
        </w:rPr>
        <w:t xml:space="preserve">6.1 </w:t>
      </w:r>
      <w:r w:rsidR="00F96342">
        <w:rPr>
          <w:rFonts w:ascii="Arial" w:eastAsia="Arial" w:hAnsi="Arial" w:cs="Arial"/>
          <w:i/>
          <w:iCs/>
          <w:sz w:val="24"/>
          <w:szCs w:val="24"/>
        </w:rPr>
        <w:t>Demographic and socio-economic characteristics of households</w:t>
      </w:r>
    </w:p>
    <w:p w:rsidR="00C322FF" w:rsidRDefault="00C322FF">
      <w:pPr>
        <w:spacing w:line="178" w:lineRule="exact"/>
        <w:rPr>
          <w:sz w:val="20"/>
          <w:szCs w:val="20"/>
        </w:rPr>
      </w:pPr>
    </w:p>
    <w:p w:rsidR="00F96342" w:rsidRDefault="00F96342" w:rsidP="00F96342">
      <w:pPr>
        <w:spacing w:line="249" w:lineRule="auto"/>
        <w:ind w:left="140" w:right="20"/>
        <w:jc w:val="both"/>
        <w:rPr>
          <w:rFonts w:ascii="Arial" w:eastAsia="Arial" w:hAnsi="Arial" w:cs="Arial"/>
          <w:sz w:val="24"/>
          <w:szCs w:val="24"/>
        </w:rPr>
      </w:pPr>
      <w:r w:rsidRPr="00F96342">
        <w:rPr>
          <w:rFonts w:ascii="Arial" w:eastAsia="Arial" w:hAnsi="Arial" w:cs="Arial"/>
          <w:sz w:val="24"/>
          <w:szCs w:val="24"/>
        </w:rPr>
        <w:t>Most of the mothers were aged between 16 to 18 years with the youngest and oldest mothers being 14 and 18 years respectively. The mean age of the adolescent mothers was 16.78 ±1.020. The study revealed that half (52%) of the respondents were single whilst the rest were either married (37 %) or cohabiting (7%).</w:t>
      </w:r>
      <w:r w:rsidRPr="00F96342">
        <w:rPr>
          <w:rFonts w:eastAsia="Times New Roman"/>
          <w:sz w:val="24"/>
          <w:szCs w:val="24"/>
        </w:rPr>
        <w:t xml:space="preserve"> </w:t>
      </w:r>
      <w:r w:rsidRPr="00F96342">
        <w:rPr>
          <w:rFonts w:ascii="Arial" w:eastAsia="Arial" w:hAnsi="Arial" w:cs="Arial"/>
          <w:sz w:val="24"/>
          <w:szCs w:val="24"/>
        </w:rPr>
        <w:t>About half of the mothers had primary level education (44.7%) and another half (44.7%) had completed secondary education while (3.7%) had no formal schooling. Most of the mothers (41.5%) stated pregnancy as the reason for leaving school, lack of fees (39%), marriage (2.4%) and (3.3%) started working. The mean household size was 2.16±2.11 with a maximum of thirty three and minimum of one. Most of the respondents (44.7%) lived with their parents while the rest (35.4%) with their spouse, with friends (3.7%), relatives (14.2%) and (2%) were staying alone.</w:t>
      </w:r>
      <w:r w:rsidRPr="00F96342">
        <w:rPr>
          <w:rFonts w:eastAsia="Times New Roman"/>
          <w:sz w:val="24"/>
          <w:szCs w:val="24"/>
        </w:rPr>
        <w:t xml:space="preserve"> </w:t>
      </w:r>
      <w:r w:rsidRPr="00F96342">
        <w:rPr>
          <w:rFonts w:ascii="Arial" w:eastAsia="Arial" w:hAnsi="Arial" w:cs="Arial"/>
          <w:sz w:val="24"/>
          <w:szCs w:val="24"/>
        </w:rPr>
        <w:t>Examination of the respondent source of income occupation revealed that most (74.4%) of the adolescent mothers depended on their families for financial support. Additionally, Table 4.2 further shows that about 17.8% of the mothers used their savings from casual jobs. Notably, 4.0% depended on their spouse for support.</w:t>
      </w:r>
    </w:p>
    <w:p w:rsidR="00F96342" w:rsidRDefault="00F96342" w:rsidP="00F96342">
      <w:pPr>
        <w:spacing w:line="249" w:lineRule="auto"/>
        <w:ind w:left="140" w:right="20"/>
        <w:jc w:val="both"/>
        <w:rPr>
          <w:rFonts w:ascii="Arial" w:eastAsia="Arial" w:hAnsi="Arial" w:cs="Arial"/>
          <w:sz w:val="24"/>
          <w:szCs w:val="24"/>
        </w:rPr>
      </w:pPr>
    </w:p>
    <w:p w:rsidR="00F96342" w:rsidRPr="00F96342" w:rsidRDefault="00F96342" w:rsidP="00F96342">
      <w:pPr>
        <w:spacing w:line="249" w:lineRule="auto"/>
        <w:ind w:left="140" w:right="20"/>
        <w:jc w:val="both"/>
        <w:rPr>
          <w:rFonts w:ascii="Arial" w:eastAsia="Arial" w:hAnsi="Arial" w:cs="Arial"/>
          <w:sz w:val="24"/>
          <w:szCs w:val="24"/>
        </w:rPr>
      </w:pPr>
      <w:r w:rsidRPr="00F96342">
        <w:rPr>
          <w:rFonts w:ascii="Arial" w:eastAsia="Arial" w:hAnsi="Arial" w:cs="Arial"/>
          <w:sz w:val="24"/>
          <w:szCs w:val="24"/>
        </w:rPr>
        <w:t>Over a half (56.9%) of the infants were girls while (43.1%) were boys.</w:t>
      </w:r>
    </w:p>
    <w:p w:rsidR="00F96342" w:rsidRPr="00F96342" w:rsidRDefault="00F96342" w:rsidP="00F96342">
      <w:pPr>
        <w:spacing w:line="249" w:lineRule="auto"/>
        <w:ind w:left="140" w:right="20"/>
        <w:jc w:val="both"/>
        <w:rPr>
          <w:rFonts w:ascii="Arial" w:eastAsia="Arial" w:hAnsi="Arial" w:cs="Arial"/>
          <w:sz w:val="24"/>
          <w:szCs w:val="24"/>
        </w:rPr>
      </w:pPr>
    </w:p>
    <w:tbl>
      <w:tblPr>
        <w:tblStyle w:val="LightShading-Accent3"/>
        <w:tblW w:w="5000" w:type="pct"/>
        <w:tblLook w:val="04A0"/>
      </w:tblPr>
      <w:tblGrid>
        <w:gridCol w:w="4697"/>
        <w:gridCol w:w="2431"/>
        <w:gridCol w:w="2108"/>
      </w:tblGrid>
      <w:tr w:rsidR="00246985" w:rsidRPr="00246985" w:rsidTr="00A17BC2">
        <w:trPr>
          <w:cnfStyle w:val="100000000000"/>
          <w:trHeight w:val="350"/>
        </w:trPr>
        <w:tc>
          <w:tcPr>
            <w:cnfStyle w:val="001000000000"/>
            <w:tcW w:w="2543" w:type="pct"/>
            <w:hideMark/>
          </w:tcPr>
          <w:p w:rsidR="00246985" w:rsidRPr="00246985" w:rsidRDefault="00246985" w:rsidP="00246985">
            <w:pPr>
              <w:spacing w:line="213" w:lineRule="exact"/>
              <w:rPr>
                <w:sz w:val="20"/>
                <w:szCs w:val="20"/>
              </w:rPr>
            </w:pPr>
            <w:r w:rsidRPr="00246985">
              <w:rPr>
                <w:sz w:val="20"/>
                <w:szCs w:val="20"/>
              </w:rPr>
              <w:t>Characteristic (n=246)</w:t>
            </w:r>
          </w:p>
        </w:tc>
        <w:tc>
          <w:tcPr>
            <w:tcW w:w="2457" w:type="pct"/>
            <w:gridSpan w:val="2"/>
          </w:tcPr>
          <w:p w:rsidR="00246985" w:rsidRPr="00246985" w:rsidRDefault="00246985" w:rsidP="00246985">
            <w:pPr>
              <w:spacing w:line="213" w:lineRule="exact"/>
              <w:cnfStyle w:val="100000000000"/>
              <w:rPr>
                <w:sz w:val="20"/>
                <w:szCs w:val="20"/>
              </w:rPr>
            </w:pPr>
            <w:r w:rsidRPr="00246985">
              <w:rPr>
                <w:sz w:val="20"/>
                <w:szCs w:val="20"/>
              </w:rPr>
              <w:t>Frequency                      %</w:t>
            </w:r>
          </w:p>
          <w:p w:rsidR="00246985" w:rsidRPr="00246985" w:rsidRDefault="00246985" w:rsidP="00246985">
            <w:pPr>
              <w:spacing w:line="213" w:lineRule="exact"/>
              <w:cnfStyle w:val="100000000000"/>
              <w:rPr>
                <w:sz w:val="20"/>
                <w:szCs w:val="20"/>
              </w:rPr>
            </w:pPr>
          </w:p>
        </w:tc>
      </w:tr>
      <w:tr w:rsidR="00246985" w:rsidRPr="00246985" w:rsidTr="00A17BC2">
        <w:trPr>
          <w:cnfStyle w:val="000000100000"/>
          <w:trHeight w:val="413"/>
        </w:trPr>
        <w:tc>
          <w:tcPr>
            <w:cnfStyle w:val="001000000000"/>
            <w:tcW w:w="2543" w:type="pct"/>
            <w:hideMark/>
          </w:tcPr>
          <w:p w:rsidR="00246985" w:rsidRPr="00246985" w:rsidRDefault="00246985" w:rsidP="00246985">
            <w:pPr>
              <w:spacing w:line="213" w:lineRule="exact"/>
              <w:rPr>
                <w:sz w:val="20"/>
                <w:szCs w:val="20"/>
              </w:rPr>
            </w:pPr>
            <w:r w:rsidRPr="00246985">
              <w:rPr>
                <w:sz w:val="20"/>
                <w:szCs w:val="20"/>
              </w:rPr>
              <w:t>Maternal age in Years</w:t>
            </w:r>
          </w:p>
        </w:tc>
        <w:tc>
          <w:tcPr>
            <w:tcW w:w="1316" w:type="pct"/>
            <w:hideMark/>
          </w:tcPr>
          <w:p w:rsidR="00246985" w:rsidRPr="00246985" w:rsidRDefault="00246985" w:rsidP="00246985">
            <w:pPr>
              <w:spacing w:line="213" w:lineRule="exact"/>
              <w:cnfStyle w:val="000000100000"/>
              <w:rPr>
                <w:sz w:val="20"/>
                <w:szCs w:val="20"/>
              </w:rPr>
            </w:pPr>
          </w:p>
        </w:tc>
        <w:tc>
          <w:tcPr>
            <w:tcW w:w="1141" w:type="pct"/>
          </w:tcPr>
          <w:p w:rsidR="00246985" w:rsidRPr="00246985" w:rsidRDefault="00246985" w:rsidP="00246985">
            <w:pPr>
              <w:spacing w:line="213" w:lineRule="exact"/>
              <w:cnfStyle w:val="000000100000"/>
              <w:rPr>
                <w:sz w:val="20"/>
                <w:szCs w:val="20"/>
              </w:rPr>
            </w:pPr>
          </w:p>
        </w:tc>
      </w:tr>
      <w:tr w:rsidR="00246985" w:rsidRPr="00246985" w:rsidTr="00A17BC2">
        <w:trPr>
          <w:trHeight w:val="277"/>
        </w:trPr>
        <w:tc>
          <w:tcPr>
            <w:cnfStyle w:val="001000000000"/>
            <w:tcW w:w="2543" w:type="pct"/>
            <w:hideMark/>
          </w:tcPr>
          <w:p w:rsidR="00246985" w:rsidRPr="00246985" w:rsidRDefault="00246985" w:rsidP="00246985">
            <w:pPr>
              <w:spacing w:line="213" w:lineRule="exact"/>
              <w:rPr>
                <w:sz w:val="20"/>
                <w:szCs w:val="20"/>
              </w:rPr>
            </w:pPr>
            <w:r w:rsidRPr="00246985">
              <w:rPr>
                <w:sz w:val="20"/>
                <w:szCs w:val="20"/>
              </w:rPr>
              <w:t>14</w:t>
            </w:r>
          </w:p>
        </w:tc>
        <w:tc>
          <w:tcPr>
            <w:tcW w:w="1316" w:type="pct"/>
            <w:hideMark/>
          </w:tcPr>
          <w:p w:rsidR="00246985" w:rsidRPr="00246985" w:rsidRDefault="00246985" w:rsidP="00246985">
            <w:pPr>
              <w:spacing w:line="213" w:lineRule="exact"/>
              <w:cnfStyle w:val="000000000000"/>
              <w:rPr>
                <w:sz w:val="20"/>
                <w:szCs w:val="20"/>
              </w:rPr>
            </w:pPr>
            <w:r w:rsidRPr="00246985">
              <w:rPr>
                <w:sz w:val="20"/>
                <w:szCs w:val="20"/>
              </w:rPr>
              <w:t>7.0</w:t>
            </w:r>
          </w:p>
        </w:tc>
        <w:tc>
          <w:tcPr>
            <w:tcW w:w="1141" w:type="pct"/>
          </w:tcPr>
          <w:p w:rsidR="00246985" w:rsidRPr="00246985" w:rsidRDefault="00246985" w:rsidP="00246985">
            <w:pPr>
              <w:spacing w:line="213" w:lineRule="exact"/>
              <w:cnfStyle w:val="000000000000"/>
              <w:rPr>
                <w:sz w:val="20"/>
                <w:szCs w:val="20"/>
              </w:rPr>
            </w:pPr>
          </w:p>
          <w:p w:rsidR="00246985" w:rsidRPr="00246985" w:rsidRDefault="00246985" w:rsidP="00246985">
            <w:pPr>
              <w:spacing w:line="213" w:lineRule="exact"/>
              <w:cnfStyle w:val="000000000000"/>
              <w:rPr>
                <w:sz w:val="20"/>
                <w:szCs w:val="20"/>
              </w:rPr>
            </w:pPr>
            <w:r w:rsidRPr="00246985">
              <w:rPr>
                <w:sz w:val="20"/>
                <w:szCs w:val="20"/>
              </w:rPr>
              <w:t>2.8</w:t>
            </w:r>
          </w:p>
        </w:tc>
      </w:tr>
      <w:tr w:rsidR="00246985" w:rsidRPr="00246985" w:rsidTr="00A17BC2">
        <w:trPr>
          <w:cnfStyle w:val="000000100000"/>
          <w:trHeight w:val="330"/>
        </w:trPr>
        <w:tc>
          <w:tcPr>
            <w:cnfStyle w:val="001000000000"/>
            <w:tcW w:w="2543" w:type="pct"/>
            <w:hideMark/>
          </w:tcPr>
          <w:p w:rsidR="00246985" w:rsidRPr="00246985" w:rsidRDefault="00246985" w:rsidP="00246985">
            <w:pPr>
              <w:spacing w:line="213" w:lineRule="exact"/>
              <w:rPr>
                <w:sz w:val="20"/>
                <w:szCs w:val="20"/>
              </w:rPr>
            </w:pPr>
            <w:r w:rsidRPr="00246985">
              <w:rPr>
                <w:sz w:val="20"/>
                <w:szCs w:val="20"/>
              </w:rPr>
              <w:t>15</w:t>
            </w:r>
          </w:p>
        </w:tc>
        <w:tc>
          <w:tcPr>
            <w:tcW w:w="1316" w:type="pct"/>
            <w:hideMark/>
          </w:tcPr>
          <w:p w:rsidR="00246985" w:rsidRPr="00246985" w:rsidRDefault="00246985" w:rsidP="00246985">
            <w:pPr>
              <w:spacing w:line="213" w:lineRule="exact"/>
              <w:cnfStyle w:val="000000100000"/>
              <w:rPr>
                <w:sz w:val="20"/>
                <w:szCs w:val="20"/>
              </w:rPr>
            </w:pPr>
            <w:r w:rsidRPr="00246985">
              <w:rPr>
                <w:sz w:val="20"/>
                <w:szCs w:val="20"/>
              </w:rPr>
              <w:t>15</w:t>
            </w:r>
          </w:p>
        </w:tc>
        <w:tc>
          <w:tcPr>
            <w:tcW w:w="1141" w:type="pct"/>
            <w:hideMark/>
          </w:tcPr>
          <w:p w:rsidR="00246985" w:rsidRPr="00246985" w:rsidRDefault="00246985" w:rsidP="00246985">
            <w:pPr>
              <w:spacing w:line="213" w:lineRule="exact"/>
              <w:cnfStyle w:val="000000100000"/>
              <w:rPr>
                <w:sz w:val="20"/>
                <w:szCs w:val="20"/>
              </w:rPr>
            </w:pPr>
            <w:r w:rsidRPr="00246985">
              <w:rPr>
                <w:sz w:val="20"/>
                <w:szCs w:val="20"/>
              </w:rPr>
              <w:t>6.1</w:t>
            </w:r>
          </w:p>
        </w:tc>
      </w:tr>
      <w:tr w:rsidR="00246985" w:rsidRPr="00246985" w:rsidTr="00A17BC2">
        <w:trPr>
          <w:trHeight w:val="330"/>
        </w:trPr>
        <w:tc>
          <w:tcPr>
            <w:cnfStyle w:val="001000000000"/>
            <w:tcW w:w="2543" w:type="pct"/>
            <w:hideMark/>
          </w:tcPr>
          <w:p w:rsidR="00246985" w:rsidRPr="00246985" w:rsidRDefault="00246985" w:rsidP="00246985">
            <w:pPr>
              <w:spacing w:line="213" w:lineRule="exact"/>
              <w:rPr>
                <w:sz w:val="20"/>
                <w:szCs w:val="20"/>
              </w:rPr>
            </w:pPr>
            <w:r w:rsidRPr="00246985">
              <w:rPr>
                <w:sz w:val="20"/>
                <w:szCs w:val="20"/>
              </w:rPr>
              <w:t>16</w:t>
            </w:r>
          </w:p>
        </w:tc>
        <w:tc>
          <w:tcPr>
            <w:tcW w:w="1316" w:type="pct"/>
            <w:hideMark/>
          </w:tcPr>
          <w:p w:rsidR="00246985" w:rsidRPr="00246985" w:rsidRDefault="00246985" w:rsidP="00246985">
            <w:pPr>
              <w:spacing w:line="213" w:lineRule="exact"/>
              <w:cnfStyle w:val="000000000000"/>
              <w:rPr>
                <w:sz w:val="20"/>
                <w:szCs w:val="20"/>
              </w:rPr>
            </w:pPr>
            <w:r w:rsidRPr="00246985">
              <w:rPr>
                <w:sz w:val="20"/>
                <w:szCs w:val="20"/>
              </w:rPr>
              <w:t>74</w:t>
            </w:r>
          </w:p>
        </w:tc>
        <w:tc>
          <w:tcPr>
            <w:tcW w:w="1141" w:type="pct"/>
            <w:hideMark/>
          </w:tcPr>
          <w:p w:rsidR="00246985" w:rsidRPr="00246985" w:rsidRDefault="00246985" w:rsidP="00246985">
            <w:pPr>
              <w:spacing w:line="213" w:lineRule="exact"/>
              <w:cnfStyle w:val="000000000000"/>
              <w:rPr>
                <w:sz w:val="20"/>
                <w:szCs w:val="20"/>
              </w:rPr>
            </w:pPr>
            <w:r w:rsidRPr="00246985">
              <w:rPr>
                <w:sz w:val="20"/>
                <w:szCs w:val="20"/>
              </w:rPr>
              <w:t>30.1</w:t>
            </w:r>
          </w:p>
        </w:tc>
      </w:tr>
      <w:tr w:rsidR="00246985" w:rsidRPr="00246985" w:rsidTr="00A17BC2">
        <w:trPr>
          <w:cnfStyle w:val="000000100000"/>
          <w:trHeight w:val="330"/>
        </w:trPr>
        <w:tc>
          <w:tcPr>
            <w:cnfStyle w:val="001000000000"/>
            <w:tcW w:w="2543" w:type="pct"/>
            <w:hideMark/>
          </w:tcPr>
          <w:p w:rsidR="00246985" w:rsidRPr="00246985" w:rsidRDefault="00246985" w:rsidP="00246985">
            <w:pPr>
              <w:spacing w:line="213" w:lineRule="exact"/>
              <w:rPr>
                <w:sz w:val="20"/>
                <w:szCs w:val="20"/>
              </w:rPr>
            </w:pPr>
            <w:r w:rsidRPr="00246985">
              <w:rPr>
                <w:sz w:val="20"/>
                <w:szCs w:val="20"/>
              </w:rPr>
              <w:t>17</w:t>
            </w:r>
          </w:p>
        </w:tc>
        <w:tc>
          <w:tcPr>
            <w:tcW w:w="1316" w:type="pct"/>
            <w:hideMark/>
          </w:tcPr>
          <w:p w:rsidR="00246985" w:rsidRPr="00246985" w:rsidRDefault="00246985" w:rsidP="00246985">
            <w:pPr>
              <w:spacing w:line="213" w:lineRule="exact"/>
              <w:cnfStyle w:val="000000100000"/>
              <w:rPr>
                <w:sz w:val="20"/>
                <w:szCs w:val="20"/>
              </w:rPr>
            </w:pPr>
            <w:r w:rsidRPr="00246985">
              <w:rPr>
                <w:sz w:val="20"/>
                <w:szCs w:val="20"/>
              </w:rPr>
              <w:t>80</w:t>
            </w:r>
          </w:p>
        </w:tc>
        <w:tc>
          <w:tcPr>
            <w:tcW w:w="1141" w:type="pct"/>
            <w:hideMark/>
          </w:tcPr>
          <w:p w:rsidR="00246985" w:rsidRPr="00246985" w:rsidRDefault="00246985" w:rsidP="00246985">
            <w:pPr>
              <w:spacing w:line="213" w:lineRule="exact"/>
              <w:cnfStyle w:val="000000100000"/>
              <w:rPr>
                <w:sz w:val="20"/>
                <w:szCs w:val="20"/>
              </w:rPr>
            </w:pPr>
            <w:r w:rsidRPr="00246985">
              <w:rPr>
                <w:sz w:val="20"/>
                <w:szCs w:val="20"/>
              </w:rPr>
              <w:t>32.5</w:t>
            </w:r>
          </w:p>
        </w:tc>
      </w:tr>
      <w:tr w:rsidR="00246985" w:rsidRPr="00246985" w:rsidTr="00A17BC2">
        <w:trPr>
          <w:trHeight w:val="330"/>
        </w:trPr>
        <w:tc>
          <w:tcPr>
            <w:cnfStyle w:val="001000000000"/>
            <w:tcW w:w="2543" w:type="pct"/>
            <w:hideMark/>
          </w:tcPr>
          <w:p w:rsidR="00246985" w:rsidRPr="00246985" w:rsidRDefault="00246985" w:rsidP="00246985">
            <w:pPr>
              <w:spacing w:line="213" w:lineRule="exact"/>
              <w:rPr>
                <w:sz w:val="20"/>
                <w:szCs w:val="20"/>
              </w:rPr>
            </w:pPr>
            <w:r w:rsidRPr="00246985">
              <w:rPr>
                <w:sz w:val="20"/>
                <w:szCs w:val="20"/>
              </w:rPr>
              <w:t>18</w:t>
            </w:r>
          </w:p>
        </w:tc>
        <w:tc>
          <w:tcPr>
            <w:tcW w:w="1316" w:type="pct"/>
            <w:hideMark/>
          </w:tcPr>
          <w:p w:rsidR="00246985" w:rsidRPr="00246985" w:rsidRDefault="00246985" w:rsidP="00246985">
            <w:pPr>
              <w:spacing w:line="213" w:lineRule="exact"/>
              <w:cnfStyle w:val="000000000000"/>
              <w:rPr>
                <w:sz w:val="20"/>
                <w:szCs w:val="20"/>
              </w:rPr>
            </w:pPr>
            <w:r w:rsidRPr="00246985">
              <w:rPr>
                <w:sz w:val="20"/>
                <w:szCs w:val="20"/>
              </w:rPr>
              <w:t>70</w:t>
            </w:r>
          </w:p>
        </w:tc>
        <w:tc>
          <w:tcPr>
            <w:tcW w:w="1141" w:type="pct"/>
            <w:hideMark/>
          </w:tcPr>
          <w:p w:rsidR="00246985" w:rsidRPr="00246985" w:rsidRDefault="00246985" w:rsidP="00246985">
            <w:pPr>
              <w:spacing w:line="213" w:lineRule="exact"/>
              <w:cnfStyle w:val="000000000000"/>
              <w:rPr>
                <w:sz w:val="20"/>
                <w:szCs w:val="20"/>
              </w:rPr>
            </w:pPr>
            <w:r w:rsidRPr="00246985">
              <w:rPr>
                <w:sz w:val="20"/>
                <w:szCs w:val="20"/>
              </w:rPr>
              <w:t>28.5</w:t>
            </w:r>
          </w:p>
        </w:tc>
      </w:tr>
      <w:tr w:rsidR="00246985" w:rsidRPr="00246985" w:rsidTr="00A17BC2">
        <w:trPr>
          <w:cnfStyle w:val="000000100000"/>
          <w:trHeight w:val="333"/>
        </w:trPr>
        <w:tc>
          <w:tcPr>
            <w:cnfStyle w:val="001000000000"/>
            <w:tcW w:w="2543" w:type="pct"/>
            <w:hideMark/>
          </w:tcPr>
          <w:p w:rsidR="00246985" w:rsidRPr="00246985" w:rsidRDefault="00246985" w:rsidP="00246985">
            <w:pPr>
              <w:spacing w:line="213" w:lineRule="exact"/>
              <w:rPr>
                <w:sz w:val="20"/>
                <w:szCs w:val="20"/>
              </w:rPr>
            </w:pPr>
            <w:r w:rsidRPr="00246985">
              <w:rPr>
                <w:sz w:val="20"/>
                <w:szCs w:val="20"/>
              </w:rPr>
              <w:t>Marital status</w:t>
            </w:r>
          </w:p>
        </w:tc>
        <w:tc>
          <w:tcPr>
            <w:tcW w:w="1316" w:type="pct"/>
            <w:hideMark/>
          </w:tcPr>
          <w:p w:rsidR="00246985" w:rsidRPr="00246985" w:rsidRDefault="00246985" w:rsidP="00246985">
            <w:pPr>
              <w:spacing w:line="213" w:lineRule="exact"/>
              <w:cnfStyle w:val="000000100000"/>
              <w:rPr>
                <w:sz w:val="20"/>
                <w:szCs w:val="20"/>
              </w:rPr>
            </w:pPr>
          </w:p>
        </w:tc>
        <w:tc>
          <w:tcPr>
            <w:tcW w:w="1141" w:type="pct"/>
            <w:hideMark/>
          </w:tcPr>
          <w:p w:rsidR="00246985" w:rsidRPr="00246985" w:rsidRDefault="00246985" w:rsidP="00246985">
            <w:pPr>
              <w:spacing w:line="213" w:lineRule="exact"/>
              <w:cnfStyle w:val="000000100000"/>
              <w:rPr>
                <w:sz w:val="20"/>
                <w:szCs w:val="20"/>
              </w:rPr>
            </w:pPr>
          </w:p>
        </w:tc>
      </w:tr>
      <w:tr w:rsidR="00246985" w:rsidRPr="00246985" w:rsidTr="00A17BC2">
        <w:trPr>
          <w:trHeight w:val="330"/>
        </w:trPr>
        <w:tc>
          <w:tcPr>
            <w:cnfStyle w:val="001000000000"/>
            <w:tcW w:w="2543" w:type="pct"/>
            <w:hideMark/>
          </w:tcPr>
          <w:p w:rsidR="00246985" w:rsidRPr="00246985" w:rsidRDefault="00246985" w:rsidP="00246985">
            <w:pPr>
              <w:spacing w:line="213" w:lineRule="exact"/>
              <w:rPr>
                <w:sz w:val="20"/>
                <w:szCs w:val="20"/>
              </w:rPr>
            </w:pPr>
            <w:r w:rsidRPr="00246985">
              <w:rPr>
                <w:sz w:val="20"/>
                <w:szCs w:val="20"/>
              </w:rPr>
              <w:t>Married</w:t>
            </w:r>
          </w:p>
        </w:tc>
        <w:tc>
          <w:tcPr>
            <w:tcW w:w="1316" w:type="pct"/>
            <w:hideMark/>
          </w:tcPr>
          <w:p w:rsidR="00246985" w:rsidRPr="00246985" w:rsidRDefault="00246985" w:rsidP="00246985">
            <w:pPr>
              <w:spacing w:line="213" w:lineRule="exact"/>
              <w:cnfStyle w:val="000000000000"/>
              <w:rPr>
                <w:sz w:val="20"/>
                <w:szCs w:val="20"/>
              </w:rPr>
            </w:pPr>
            <w:r w:rsidRPr="00246985">
              <w:rPr>
                <w:sz w:val="20"/>
                <w:szCs w:val="20"/>
              </w:rPr>
              <w:t>91</w:t>
            </w:r>
          </w:p>
        </w:tc>
        <w:tc>
          <w:tcPr>
            <w:tcW w:w="1141" w:type="pct"/>
            <w:hideMark/>
          </w:tcPr>
          <w:p w:rsidR="00246985" w:rsidRPr="00246985" w:rsidRDefault="00246985" w:rsidP="00246985">
            <w:pPr>
              <w:spacing w:line="213" w:lineRule="exact"/>
              <w:cnfStyle w:val="000000000000"/>
              <w:rPr>
                <w:sz w:val="20"/>
                <w:szCs w:val="20"/>
              </w:rPr>
            </w:pPr>
            <w:r w:rsidRPr="00246985">
              <w:rPr>
                <w:sz w:val="20"/>
                <w:szCs w:val="20"/>
              </w:rPr>
              <w:t>37</w:t>
            </w:r>
          </w:p>
        </w:tc>
      </w:tr>
      <w:tr w:rsidR="00246985" w:rsidRPr="00246985" w:rsidTr="00A17BC2">
        <w:trPr>
          <w:cnfStyle w:val="000000100000"/>
          <w:trHeight w:val="330"/>
        </w:trPr>
        <w:tc>
          <w:tcPr>
            <w:cnfStyle w:val="001000000000"/>
            <w:tcW w:w="2543" w:type="pct"/>
            <w:hideMark/>
          </w:tcPr>
          <w:p w:rsidR="00246985" w:rsidRPr="00246985" w:rsidRDefault="00246985" w:rsidP="00246985">
            <w:pPr>
              <w:spacing w:line="213" w:lineRule="exact"/>
              <w:rPr>
                <w:sz w:val="20"/>
                <w:szCs w:val="20"/>
              </w:rPr>
            </w:pPr>
            <w:r w:rsidRPr="00246985">
              <w:rPr>
                <w:sz w:val="20"/>
                <w:szCs w:val="20"/>
              </w:rPr>
              <w:t>Single</w:t>
            </w:r>
          </w:p>
        </w:tc>
        <w:tc>
          <w:tcPr>
            <w:tcW w:w="1316" w:type="pct"/>
            <w:hideMark/>
          </w:tcPr>
          <w:p w:rsidR="00246985" w:rsidRPr="00246985" w:rsidRDefault="00246985" w:rsidP="00246985">
            <w:pPr>
              <w:spacing w:line="213" w:lineRule="exact"/>
              <w:cnfStyle w:val="000000100000"/>
              <w:rPr>
                <w:sz w:val="20"/>
                <w:szCs w:val="20"/>
              </w:rPr>
            </w:pPr>
            <w:r w:rsidRPr="00246985">
              <w:rPr>
                <w:sz w:val="20"/>
                <w:szCs w:val="20"/>
              </w:rPr>
              <w:t>128</w:t>
            </w:r>
          </w:p>
        </w:tc>
        <w:tc>
          <w:tcPr>
            <w:tcW w:w="1141" w:type="pct"/>
            <w:hideMark/>
          </w:tcPr>
          <w:p w:rsidR="00246985" w:rsidRPr="00246985" w:rsidRDefault="00246985" w:rsidP="00246985">
            <w:pPr>
              <w:spacing w:line="213" w:lineRule="exact"/>
              <w:cnfStyle w:val="000000100000"/>
              <w:rPr>
                <w:sz w:val="20"/>
                <w:szCs w:val="20"/>
              </w:rPr>
            </w:pPr>
            <w:r w:rsidRPr="00246985">
              <w:rPr>
                <w:sz w:val="20"/>
                <w:szCs w:val="20"/>
              </w:rPr>
              <w:t>52</w:t>
            </w:r>
          </w:p>
        </w:tc>
      </w:tr>
      <w:tr w:rsidR="00246985" w:rsidRPr="00246985" w:rsidTr="00A17BC2">
        <w:trPr>
          <w:trHeight w:val="330"/>
        </w:trPr>
        <w:tc>
          <w:tcPr>
            <w:cnfStyle w:val="001000000000"/>
            <w:tcW w:w="2543" w:type="pct"/>
            <w:hideMark/>
          </w:tcPr>
          <w:p w:rsidR="00246985" w:rsidRPr="00246985" w:rsidRDefault="00246985" w:rsidP="00246985">
            <w:pPr>
              <w:spacing w:line="213" w:lineRule="exact"/>
              <w:rPr>
                <w:sz w:val="20"/>
                <w:szCs w:val="20"/>
              </w:rPr>
            </w:pPr>
            <w:r w:rsidRPr="00246985">
              <w:rPr>
                <w:sz w:val="20"/>
                <w:szCs w:val="20"/>
              </w:rPr>
              <w:t>Separated</w:t>
            </w:r>
          </w:p>
        </w:tc>
        <w:tc>
          <w:tcPr>
            <w:tcW w:w="1316" w:type="pct"/>
            <w:hideMark/>
          </w:tcPr>
          <w:p w:rsidR="00246985" w:rsidRPr="00246985" w:rsidRDefault="00246985" w:rsidP="00246985">
            <w:pPr>
              <w:spacing w:line="213" w:lineRule="exact"/>
              <w:cnfStyle w:val="000000000000"/>
              <w:rPr>
                <w:sz w:val="20"/>
                <w:szCs w:val="20"/>
              </w:rPr>
            </w:pPr>
            <w:r w:rsidRPr="00246985">
              <w:rPr>
                <w:sz w:val="20"/>
                <w:szCs w:val="20"/>
              </w:rPr>
              <w:t>7</w:t>
            </w:r>
          </w:p>
        </w:tc>
        <w:tc>
          <w:tcPr>
            <w:tcW w:w="1141" w:type="pct"/>
            <w:hideMark/>
          </w:tcPr>
          <w:p w:rsidR="00246985" w:rsidRPr="00246985" w:rsidRDefault="00246985" w:rsidP="00246985">
            <w:pPr>
              <w:spacing w:line="213" w:lineRule="exact"/>
              <w:cnfStyle w:val="000000000000"/>
              <w:rPr>
                <w:sz w:val="20"/>
                <w:szCs w:val="20"/>
              </w:rPr>
            </w:pPr>
            <w:r w:rsidRPr="00246985">
              <w:rPr>
                <w:sz w:val="20"/>
                <w:szCs w:val="20"/>
              </w:rPr>
              <w:t>2.8</w:t>
            </w:r>
          </w:p>
        </w:tc>
      </w:tr>
      <w:tr w:rsidR="00246985" w:rsidRPr="00246985" w:rsidTr="00A17BC2">
        <w:trPr>
          <w:cnfStyle w:val="000000100000"/>
          <w:trHeight w:val="330"/>
        </w:trPr>
        <w:tc>
          <w:tcPr>
            <w:cnfStyle w:val="001000000000"/>
            <w:tcW w:w="2543" w:type="pct"/>
            <w:hideMark/>
          </w:tcPr>
          <w:p w:rsidR="00246985" w:rsidRPr="00246985" w:rsidRDefault="00246985" w:rsidP="00246985">
            <w:pPr>
              <w:spacing w:line="213" w:lineRule="exact"/>
              <w:rPr>
                <w:sz w:val="20"/>
                <w:szCs w:val="20"/>
              </w:rPr>
            </w:pPr>
            <w:r w:rsidRPr="00246985">
              <w:rPr>
                <w:sz w:val="20"/>
                <w:szCs w:val="20"/>
              </w:rPr>
              <w:t>Cohabiting</w:t>
            </w:r>
          </w:p>
        </w:tc>
        <w:tc>
          <w:tcPr>
            <w:tcW w:w="1316" w:type="pct"/>
            <w:hideMark/>
          </w:tcPr>
          <w:p w:rsidR="00246985" w:rsidRPr="00246985" w:rsidRDefault="00246985" w:rsidP="00246985">
            <w:pPr>
              <w:spacing w:line="213" w:lineRule="exact"/>
              <w:cnfStyle w:val="000000100000"/>
              <w:rPr>
                <w:sz w:val="20"/>
                <w:szCs w:val="20"/>
              </w:rPr>
            </w:pPr>
            <w:r w:rsidRPr="00246985">
              <w:rPr>
                <w:sz w:val="20"/>
                <w:szCs w:val="20"/>
              </w:rPr>
              <w:t>20</w:t>
            </w:r>
          </w:p>
        </w:tc>
        <w:tc>
          <w:tcPr>
            <w:tcW w:w="1141" w:type="pct"/>
            <w:hideMark/>
          </w:tcPr>
          <w:p w:rsidR="00246985" w:rsidRPr="00246985" w:rsidRDefault="00246985" w:rsidP="00246985">
            <w:pPr>
              <w:spacing w:line="213" w:lineRule="exact"/>
              <w:cnfStyle w:val="000000100000"/>
              <w:rPr>
                <w:sz w:val="20"/>
                <w:szCs w:val="20"/>
              </w:rPr>
            </w:pPr>
            <w:r w:rsidRPr="00246985">
              <w:rPr>
                <w:sz w:val="20"/>
                <w:szCs w:val="20"/>
              </w:rPr>
              <w:t>8.1</w:t>
            </w:r>
          </w:p>
        </w:tc>
      </w:tr>
      <w:tr w:rsidR="00246985" w:rsidRPr="00246985" w:rsidTr="00A17BC2">
        <w:trPr>
          <w:trHeight w:val="413"/>
        </w:trPr>
        <w:tc>
          <w:tcPr>
            <w:cnfStyle w:val="001000000000"/>
            <w:tcW w:w="2543" w:type="pct"/>
            <w:hideMark/>
          </w:tcPr>
          <w:p w:rsidR="00246985" w:rsidRPr="00246985" w:rsidRDefault="00246985" w:rsidP="00246985">
            <w:pPr>
              <w:spacing w:line="213" w:lineRule="exact"/>
              <w:rPr>
                <w:sz w:val="20"/>
                <w:szCs w:val="20"/>
              </w:rPr>
            </w:pPr>
            <w:r w:rsidRPr="00246985">
              <w:rPr>
                <w:sz w:val="20"/>
                <w:szCs w:val="20"/>
              </w:rPr>
              <w:t>Highest academic qualification</w:t>
            </w:r>
          </w:p>
        </w:tc>
        <w:tc>
          <w:tcPr>
            <w:tcW w:w="1316" w:type="pct"/>
            <w:hideMark/>
          </w:tcPr>
          <w:p w:rsidR="00246985" w:rsidRPr="00246985" w:rsidRDefault="00246985" w:rsidP="00246985">
            <w:pPr>
              <w:spacing w:line="213" w:lineRule="exact"/>
              <w:cnfStyle w:val="000000000000"/>
              <w:rPr>
                <w:sz w:val="20"/>
                <w:szCs w:val="20"/>
              </w:rPr>
            </w:pPr>
          </w:p>
        </w:tc>
        <w:tc>
          <w:tcPr>
            <w:tcW w:w="1141" w:type="pct"/>
            <w:hideMark/>
          </w:tcPr>
          <w:p w:rsidR="00246985" w:rsidRPr="00246985" w:rsidRDefault="00246985" w:rsidP="00246985">
            <w:pPr>
              <w:spacing w:line="213" w:lineRule="exact"/>
              <w:cnfStyle w:val="000000000000"/>
              <w:rPr>
                <w:sz w:val="20"/>
                <w:szCs w:val="20"/>
              </w:rPr>
            </w:pPr>
          </w:p>
        </w:tc>
      </w:tr>
      <w:tr w:rsidR="00246985" w:rsidRPr="00246985" w:rsidTr="00A17BC2">
        <w:trPr>
          <w:cnfStyle w:val="000000100000"/>
          <w:trHeight w:val="330"/>
        </w:trPr>
        <w:tc>
          <w:tcPr>
            <w:cnfStyle w:val="001000000000"/>
            <w:tcW w:w="2543" w:type="pct"/>
            <w:hideMark/>
          </w:tcPr>
          <w:p w:rsidR="00246985" w:rsidRPr="00246985" w:rsidRDefault="00246985" w:rsidP="00246985">
            <w:pPr>
              <w:spacing w:line="213" w:lineRule="exact"/>
              <w:rPr>
                <w:sz w:val="20"/>
                <w:szCs w:val="20"/>
              </w:rPr>
            </w:pPr>
            <w:r w:rsidRPr="00246985">
              <w:rPr>
                <w:sz w:val="20"/>
                <w:szCs w:val="20"/>
              </w:rPr>
              <w:t>Primary</w:t>
            </w:r>
          </w:p>
        </w:tc>
        <w:tc>
          <w:tcPr>
            <w:tcW w:w="1316" w:type="pct"/>
            <w:hideMark/>
          </w:tcPr>
          <w:p w:rsidR="00246985" w:rsidRPr="00246985" w:rsidRDefault="00246985" w:rsidP="00246985">
            <w:pPr>
              <w:spacing w:line="213" w:lineRule="exact"/>
              <w:cnfStyle w:val="000000100000"/>
              <w:rPr>
                <w:sz w:val="20"/>
                <w:szCs w:val="20"/>
              </w:rPr>
            </w:pPr>
            <w:r w:rsidRPr="00246985">
              <w:rPr>
                <w:sz w:val="20"/>
                <w:szCs w:val="20"/>
              </w:rPr>
              <w:t>110</w:t>
            </w:r>
          </w:p>
        </w:tc>
        <w:tc>
          <w:tcPr>
            <w:tcW w:w="1141" w:type="pct"/>
            <w:hideMark/>
          </w:tcPr>
          <w:p w:rsidR="00246985" w:rsidRPr="00246985" w:rsidRDefault="00246985" w:rsidP="00246985">
            <w:pPr>
              <w:spacing w:line="213" w:lineRule="exact"/>
              <w:cnfStyle w:val="000000100000"/>
              <w:rPr>
                <w:sz w:val="20"/>
                <w:szCs w:val="20"/>
              </w:rPr>
            </w:pPr>
            <w:r w:rsidRPr="00246985">
              <w:rPr>
                <w:sz w:val="20"/>
                <w:szCs w:val="20"/>
              </w:rPr>
              <w:t>44.7</w:t>
            </w:r>
          </w:p>
        </w:tc>
      </w:tr>
      <w:tr w:rsidR="00246985" w:rsidRPr="00246985" w:rsidTr="00A17BC2">
        <w:trPr>
          <w:trHeight w:val="330"/>
        </w:trPr>
        <w:tc>
          <w:tcPr>
            <w:cnfStyle w:val="001000000000"/>
            <w:tcW w:w="2543" w:type="pct"/>
            <w:hideMark/>
          </w:tcPr>
          <w:p w:rsidR="00246985" w:rsidRPr="00246985" w:rsidRDefault="00246985" w:rsidP="00246985">
            <w:pPr>
              <w:spacing w:line="213" w:lineRule="exact"/>
              <w:rPr>
                <w:sz w:val="20"/>
                <w:szCs w:val="20"/>
              </w:rPr>
            </w:pPr>
            <w:r w:rsidRPr="00246985">
              <w:rPr>
                <w:sz w:val="20"/>
                <w:szCs w:val="20"/>
              </w:rPr>
              <w:t>Secondary</w:t>
            </w:r>
          </w:p>
        </w:tc>
        <w:tc>
          <w:tcPr>
            <w:tcW w:w="1316" w:type="pct"/>
            <w:hideMark/>
          </w:tcPr>
          <w:p w:rsidR="00246985" w:rsidRPr="00246985" w:rsidRDefault="00246985" w:rsidP="00246985">
            <w:pPr>
              <w:spacing w:line="213" w:lineRule="exact"/>
              <w:cnfStyle w:val="000000000000"/>
              <w:rPr>
                <w:sz w:val="20"/>
                <w:szCs w:val="20"/>
              </w:rPr>
            </w:pPr>
            <w:r w:rsidRPr="00246985">
              <w:rPr>
                <w:sz w:val="20"/>
                <w:szCs w:val="20"/>
              </w:rPr>
              <w:t>110</w:t>
            </w:r>
          </w:p>
        </w:tc>
        <w:tc>
          <w:tcPr>
            <w:tcW w:w="1141" w:type="pct"/>
            <w:hideMark/>
          </w:tcPr>
          <w:p w:rsidR="00246985" w:rsidRPr="00246985" w:rsidRDefault="00246985" w:rsidP="00246985">
            <w:pPr>
              <w:spacing w:line="213" w:lineRule="exact"/>
              <w:cnfStyle w:val="000000000000"/>
              <w:rPr>
                <w:sz w:val="20"/>
                <w:szCs w:val="20"/>
              </w:rPr>
            </w:pPr>
            <w:r w:rsidRPr="00246985">
              <w:rPr>
                <w:sz w:val="20"/>
                <w:szCs w:val="20"/>
              </w:rPr>
              <w:t>44.7</w:t>
            </w:r>
          </w:p>
        </w:tc>
      </w:tr>
      <w:tr w:rsidR="00246985" w:rsidRPr="00246985" w:rsidTr="00A17BC2">
        <w:trPr>
          <w:cnfStyle w:val="000000100000"/>
          <w:trHeight w:val="330"/>
        </w:trPr>
        <w:tc>
          <w:tcPr>
            <w:cnfStyle w:val="001000000000"/>
            <w:tcW w:w="2543" w:type="pct"/>
            <w:hideMark/>
          </w:tcPr>
          <w:p w:rsidR="00246985" w:rsidRPr="00246985" w:rsidRDefault="00246985" w:rsidP="00246985">
            <w:pPr>
              <w:spacing w:line="213" w:lineRule="exact"/>
              <w:rPr>
                <w:sz w:val="20"/>
                <w:szCs w:val="20"/>
              </w:rPr>
            </w:pPr>
            <w:r w:rsidRPr="00246985">
              <w:rPr>
                <w:sz w:val="20"/>
                <w:szCs w:val="20"/>
              </w:rPr>
              <w:t>Tertiary</w:t>
            </w:r>
          </w:p>
        </w:tc>
        <w:tc>
          <w:tcPr>
            <w:tcW w:w="1316" w:type="pct"/>
            <w:hideMark/>
          </w:tcPr>
          <w:p w:rsidR="00246985" w:rsidRPr="00246985" w:rsidRDefault="00246985" w:rsidP="00246985">
            <w:pPr>
              <w:spacing w:line="213" w:lineRule="exact"/>
              <w:cnfStyle w:val="000000100000"/>
              <w:rPr>
                <w:sz w:val="20"/>
                <w:szCs w:val="20"/>
              </w:rPr>
            </w:pPr>
            <w:r w:rsidRPr="00246985">
              <w:rPr>
                <w:sz w:val="20"/>
                <w:szCs w:val="20"/>
              </w:rPr>
              <w:t>17</w:t>
            </w:r>
          </w:p>
        </w:tc>
        <w:tc>
          <w:tcPr>
            <w:tcW w:w="1141" w:type="pct"/>
            <w:hideMark/>
          </w:tcPr>
          <w:p w:rsidR="00246985" w:rsidRPr="00246985" w:rsidRDefault="00246985" w:rsidP="00246985">
            <w:pPr>
              <w:spacing w:line="213" w:lineRule="exact"/>
              <w:cnfStyle w:val="000000100000"/>
              <w:rPr>
                <w:sz w:val="20"/>
                <w:szCs w:val="20"/>
              </w:rPr>
            </w:pPr>
            <w:r w:rsidRPr="00246985">
              <w:rPr>
                <w:sz w:val="20"/>
                <w:szCs w:val="20"/>
              </w:rPr>
              <w:t>6.9</w:t>
            </w:r>
          </w:p>
        </w:tc>
      </w:tr>
      <w:tr w:rsidR="00246985" w:rsidRPr="00246985" w:rsidTr="00A17BC2">
        <w:trPr>
          <w:trHeight w:val="330"/>
        </w:trPr>
        <w:tc>
          <w:tcPr>
            <w:cnfStyle w:val="001000000000"/>
            <w:tcW w:w="2543" w:type="pct"/>
            <w:hideMark/>
          </w:tcPr>
          <w:p w:rsidR="00246985" w:rsidRPr="00246985" w:rsidRDefault="00246985" w:rsidP="00246985">
            <w:pPr>
              <w:spacing w:line="213" w:lineRule="exact"/>
              <w:rPr>
                <w:sz w:val="20"/>
                <w:szCs w:val="20"/>
              </w:rPr>
            </w:pPr>
            <w:r w:rsidRPr="00246985">
              <w:rPr>
                <w:sz w:val="20"/>
                <w:szCs w:val="20"/>
              </w:rPr>
              <w:t>No formal education</w:t>
            </w:r>
          </w:p>
        </w:tc>
        <w:tc>
          <w:tcPr>
            <w:tcW w:w="1316" w:type="pct"/>
            <w:hideMark/>
          </w:tcPr>
          <w:p w:rsidR="00246985" w:rsidRPr="00246985" w:rsidRDefault="00246985" w:rsidP="00246985">
            <w:pPr>
              <w:spacing w:line="213" w:lineRule="exact"/>
              <w:cnfStyle w:val="000000000000"/>
              <w:rPr>
                <w:sz w:val="20"/>
                <w:szCs w:val="20"/>
              </w:rPr>
            </w:pPr>
            <w:r w:rsidRPr="00246985">
              <w:rPr>
                <w:sz w:val="20"/>
                <w:szCs w:val="20"/>
              </w:rPr>
              <w:t>9</w:t>
            </w:r>
          </w:p>
        </w:tc>
        <w:tc>
          <w:tcPr>
            <w:tcW w:w="1141" w:type="pct"/>
            <w:hideMark/>
          </w:tcPr>
          <w:p w:rsidR="00246985" w:rsidRPr="00246985" w:rsidRDefault="00246985" w:rsidP="00246985">
            <w:pPr>
              <w:spacing w:line="213" w:lineRule="exact"/>
              <w:cnfStyle w:val="000000000000"/>
              <w:rPr>
                <w:sz w:val="20"/>
                <w:szCs w:val="20"/>
              </w:rPr>
            </w:pPr>
            <w:r w:rsidRPr="00246985">
              <w:rPr>
                <w:sz w:val="20"/>
                <w:szCs w:val="20"/>
              </w:rPr>
              <w:t>3.7</w:t>
            </w:r>
          </w:p>
        </w:tc>
      </w:tr>
      <w:tr w:rsidR="00246985" w:rsidRPr="00246985" w:rsidTr="00A17BC2">
        <w:trPr>
          <w:cnfStyle w:val="000000100000"/>
          <w:trHeight w:val="330"/>
        </w:trPr>
        <w:tc>
          <w:tcPr>
            <w:cnfStyle w:val="001000000000"/>
            <w:tcW w:w="2543" w:type="pct"/>
            <w:hideMark/>
          </w:tcPr>
          <w:p w:rsidR="00246985" w:rsidRPr="00246985" w:rsidRDefault="00246985" w:rsidP="00246985">
            <w:pPr>
              <w:spacing w:line="213" w:lineRule="exact"/>
              <w:rPr>
                <w:sz w:val="20"/>
                <w:szCs w:val="20"/>
              </w:rPr>
            </w:pPr>
            <w:r w:rsidRPr="00246985">
              <w:rPr>
                <w:sz w:val="20"/>
                <w:szCs w:val="20"/>
              </w:rPr>
              <w:t>Reason for leaving school</w:t>
            </w:r>
          </w:p>
        </w:tc>
        <w:tc>
          <w:tcPr>
            <w:tcW w:w="1316" w:type="pct"/>
            <w:hideMark/>
          </w:tcPr>
          <w:p w:rsidR="00246985" w:rsidRPr="00246985" w:rsidRDefault="00246985" w:rsidP="00246985">
            <w:pPr>
              <w:spacing w:line="213" w:lineRule="exact"/>
              <w:cnfStyle w:val="000000100000"/>
              <w:rPr>
                <w:sz w:val="20"/>
                <w:szCs w:val="20"/>
              </w:rPr>
            </w:pPr>
            <w:r w:rsidRPr="00246985">
              <w:rPr>
                <w:sz w:val="20"/>
                <w:szCs w:val="20"/>
              </w:rPr>
              <w:t> </w:t>
            </w:r>
          </w:p>
        </w:tc>
        <w:tc>
          <w:tcPr>
            <w:tcW w:w="1141" w:type="pct"/>
            <w:hideMark/>
          </w:tcPr>
          <w:p w:rsidR="00246985" w:rsidRPr="00246985" w:rsidRDefault="00246985" w:rsidP="00246985">
            <w:pPr>
              <w:spacing w:line="213" w:lineRule="exact"/>
              <w:cnfStyle w:val="000000100000"/>
              <w:rPr>
                <w:sz w:val="20"/>
                <w:szCs w:val="20"/>
              </w:rPr>
            </w:pPr>
            <w:r w:rsidRPr="00246985">
              <w:rPr>
                <w:sz w:val="20"/>
                <w:szCs w:val="20"/>
              </w:rPr>
              <w:t> </w:t>
            </w:r>
          </w:p>
        </w:tc>
      </w:tr>
      <w:tr w:rsidR="00246985" w:rsidRPr="00246985" w:rsidTr="00A17BC2">
        <w:trPr>
          <w:trHeight w:val="330"/>
        </w:trPr>
        <w:tc>
          <w:tcPr>
            <w:cnfStyle w:val="001000000000"/>
            <w:tcW w:w="2543" w:type="pct"/>
            <w:hideMark/>
          </w:tcPr>
          <w:p w:rsidR="00246985" w:rsidRPr="00246985" w:rsidRDefault="00246985" w:rsidP="00246985">
            <w:pPr>
              <w:spacing w:line="213" w:lineRule="exact"/>
              <w:rPr>
                <w:sz w:val="20"/>
                <w:szCs w:val="20"/>
              </w:rPr>
            </w:pPr>
            <w:r w:rsidRPr="00246985">
              <w:rPr>
                <w:sz w:val="20"/>
                <w:szCs w:val="20"/>
              </w:rPr>
              <w:t>Started working</w:t>
            </w:r>
          </w:p>
        </w:tc>
        <w:tc>
          <w:tcPr>
            <w:tcW w:w="1316" w:type="pct"/>
            <w:hideMark/>
          </w:tcPr>
          <w:p w:rsidR="00246985" w:rsidRPr="00246985" w:rsidRDefault="00246985" w:rsidP="00246985">
            <w:pPr>
              <w:spacing w:line="213" w:lineRule="exact"/>
              <w:cnfStyle w:val="000000000000"/>
              <w:rPr>
                <w:sz w:val="20"/>
                <w:szCs w:val="20"/>
              </w:rPr>
            </w:pPr>
            <w:r w:rsidRPr="00246985">
              <w:rPr>
                <w:sz w:val="20"/>
                <w:szCs w:val="20"/>
              </w:rPr>
              <w:t>8</w:t>
            </w:r>
          </w:p>
        </w:tc>
        <w:tc>
          <w:tcPr>
            <w:tcW w:w="1141" w:type="pct"/>
            <w:hideMark/>
          </w:tcPr>
          <w:p w:rsidR="00246985" w:rsidRPr="00246985" w:rsidRDefault="00246985" w:rsidP="00246985">
            <w:pPr>
              <w:spacing w:line="213" w:lineRule="exact"/>
              <w:cnfStyle w:val="000000000000"/>
              <w:rPr>
                <w:sz w:val="20"/>
                <w:szCs w:val="20"/>
              </w:rPr>
            </w:pPr>
            <w:r w:rsidRPr="00246985">
              <w:rPr>
                <w:sz w:val="20"/>
                <w:szCs w:val="20"/>
              </w:rPr>
              <w:t>3.3</w:t>
            </w:r>
          </w:p>
        </w:tc>
      </w:tr>
      <w:tr w:rsidR="00246985" w:rsidRPr="00246985" w:rsidTr="00A17BC2">
        <w:trPr>
          <w:cnfStyle w:val="000000100000"/>
          <w:trHeight w:val="330"/>
        </w:trPr>
        <w:tc>
          <w:tcPr>
            <w:cnfStyle w:val="001000000000"/>
            <w:tcW w:w="2543" w:type="pct"/>
            <w:hideMark/>
          </w:tcPr>
          <w:p w:rsidR="00246985" w:rsidRPr="00246985" w:rsidRDefault="00246985" w:rsidP="00246985">
            <w:pPr>
              <w:spacing w:line="213" w:lineRule="exact"/>
              <w:rPr>
                <w:sz w:val="20"/>
                <w:szCs w:val="20"/>
              </w:rPr>
            </w:pPr>
            <w:r w:rsidRPr="00246985">
              <w:rPr>
                <w:sz w:val="20"/>
                <w:szCs w:val="20"/>
              </w:rPr>
              <w:t>Lack of fees</w:t>
            </w:r>
          </w:p>
        </w:tc>
        <w:tc>
          <w:tcPr>
            <w:tcW w:w="1316" w:type="pct"/>
            <w:hideMark/>
          </w:tcPr>
          <w:p w:rsidR="00246985" w:rsidRPr="00246985" w:rsidRDefault="00246985" w:rsidP="00246985">
            <w:pPr>
              <w:spacing w:line="213" w:lineRule="exact"/>
              <w:cnfStyle w:val="000000100000"/>
              <w:rPr>
                <w:sz w:val="20"/>
                <w:szCs w:val="20"/>
              </w:rPr>
            </w:pPr>
            <w:r w:rsidRPr="00246985">
              <w:rPr>
                <w:sz w:val="20"/>
                <w:szCs w:val="20"/>
              </w:rPr>
              <w:t>96</w:t>
            </w:r>
          </w:p>
        </w:tc>
        <w:tc>
          <w:tcPr>
            <w:tcW w:w="1141" w:type="pct"/>
            <w:hideMark/>
          </w:tcPr>
          <w:p w:rsidR="00246985" w:rsidRPr="00246985" w:rsidRDefault="00246985" w:rsidP="00246985">
            <w:pPr>
              <w:spacing w:line="213" w:lineRule="exact"/>
              <w:cnfStyle w:val="000000100000"/>
              <w:rPr>
                <w:sz w:val="20"/>
                <w:szCs w:val="20"/>
              </w:rPr>
            </w:pPr>
            <w:r w:rsidRPr="00246985">
              <w:rPr>
                <w:sz w:val="20"/>
                <w:szCs w:val="20"/>
              </w:rPr>
              <w:t>39</w:t>
            </w:r>
          </w:p>
        </w:tc>
      </w:tr>
      <w:tr w:rsidR="00246985" w:rsidRPr="00246985" w:rsidTr="00A17BC2">
        <w:trPr>
          <w:trHeight w:val="330"/>
        </w:trPr>
        <w:tc>
          <w:tcPr>
            <w:cnfStyle w:val="001000000000"/>
            <w:tcW w:w="2543" w:type="pct"/>
            <w:hideMark/>
          </w:tcPr>
          <w:p w:rsidR="00246985" w:rsidRPr="00246985" w:rsidRDefault="00246985" w:rsidP="00246985">
            <w:pPr>
              <w:spacing w:line="213" w:lineRule="exact"/>
              <w:rPr>
                <w:sz w:val="20"/>
                <w:szCs w:val="20"/>
              </w:rPr>
            </w:pPr>
            <w:r w:rsidRPr="00246985">
              <w:rPr>
                <w:sz w:val="20"/>
                <w:szCs w:val="20"/>
              </w:rPr>
              <w:t>Pregnancy</w:t>
            </w:r>
          </w:p>
        </w:tc>
        <w:tc>
          <w:tcPr>
            <w:tcW w:w="1316" w:type="pct"/>
            <w:hideMark/>
          </w:tcPr>
          <w:p w:rsidR="00246985" w:rsidRPr="00246985" w:rsidRDefault="00246985" w:rsidP="00246985">
            <w:pPr>
              <w:spacing w:line="213" w:lineRule="exact"/>
              <w:cnfStyle w:val="000000000000"/>
              <w:rPr>
                <w:sz w:val="20"/>
                <w:szCs w:val="20"/>
              </w:rPr>
            </w:pPr>
            <w:r w:rsidRPr="00246985">
              <w:rPr>
                <w:sz w:val="20"/>
                <w:szCs w:val="20"/>
              </w:rPr>
              <w:t>102</w:t>
            </w:r>
          </w:p>
        </w:tc>
        <w:tc>
          <w:tcPr>
            <w:tcW w:w="1141" w:type="pct"/>
            <w:hideMark/>
          </w:tcPr>
          <w:p w:rsidR="00246985" w:rsidRPr="00246985" w:rsidRDefault="00246985" w:rsidP="00246985">
            <w:pPr>
              <w:spacing w:line="213" w:lineRule="exact"/>
              <w:cnfStyle w:val="000000000000"/>
              <w:rPr>
                <w:sz w:val="20"/>
                <w:szCs w:val="20"/>
              </w:rPr>
            </w:pPr>
            <w:r w:rsidRPr="00246985">
              <w:rPr>
                <w:sz w:val="20"/>
                <w:szCs w:val="20"/>
              </w:rPr>
              <w:t>41.5</w:t>
            </w:r>
          </w:p>
        </w:tc>
      </w:tr>
      <w:tr w:rsidR="00246985" w:rsidRPr="00246985" w:rsidTr="00A17BC2">
        <w:trPr>
          <w:cnfStyle w:val="000000100000"/>
          <w:trHeight w:val="330"/>
        </w:trPr>
        <w:tc>
          <w:tcPr>
            <w:cnfStyle w:val="001000000000"/>
            <w:tcW w:w="2543" w:type="pct"/>
            <w:hideMark/>
          </w:tcPr>
          <w:p w:rsidR="00246985" w:rsidRPr="00246985" w:rsidRDefault="00246985" w:rsidP="00246985">
            <w:pPr>
              <w:spacing w:line="213" w:lineRule="exact"/>
              <w:rPr>
                <w:sz w:val="20"/>
                <w:szCs w:val="20"/>
              </w:rPr>
            </w:pPr>
            <w:r w:rsidRPr="00246985">
              <w:rPr>
                <w:sz w:val="20"/>
                <w:szCs w:val="20"/>
              </w:rPr>
              <w:t>Married</w:t>
            </w:r>
          </w:p>
        </w:tc>
        <w:tc>
          <w:tcPr>
            <w:tcW w:w="1316" w:type="pct"/>
            <w:hideMark/>
          </w:tcPr>
          <w:p w:rsidR="00246985" w:rsidRPr="00246985" w:rsidRDefault="00246985" w:rsidP="00246985">
            <w:pPr>
              <w:spacing w:line="213" w:lineRule="exact"/>
              <w:cnfStyle w:val="000000100000"/>
              <w:rPr>
                <w:sz w:val="20"/>
                <w:szCs w:val="20"/>
              </w:rPr>
            </w:pPr>
            <w:r w:rsidRPr="00246985">
              <w:rPr>
                <w:sz w:val="20"/>
                <w:szCs w:val="20"/>
              </w:rPr>
              <w:t>6</w:t>
            </w:r>
          </w:p>
        </w:tc>
        <w:tc>
          <w:tcPr>
            <w:tcW w:w="1141" w:type="pct"/>
            <w:hideMark/>
          </w:tcPr>
          <w:p w:rsidR="00246985" w:rsidRPr="00246985" w:rsidRDefault="00246985" w:rsidP="00246985">
            <w:pPr>
              <w:spacing w:line="213" w:lineRule="exact"/>
              <w:cnfStyle w:val="000000100000"/>
              <w:rPr>
                <w:sz w:val="20"/>
                <w:szCs w:val="20"/>
              </w:rPr>
            </w:pPr>
            <w:r w:rsidRPr="00246985">
              <w:rPr>
                <w:sz w:val="20"/>
                <w:szCs w:val="20"/>
              </w:rPr>
              <w:t>2.4</w:t>
            </w:r>
          </w:p>
        </w:tc>
      </w:tr>
      <w:tr w:rsidR="00246985" w:rsidRPr="00246985" w:rsidTr="00A17BC2">
        <w:trPr>
          <w:trHeight w:val="330"/>
        </w:trPr>
        <w:tc>
          <w:tcPr>
            <w:cnfStyle w:val="001000000000"/>
            <w:tcW w:w="2543" w:type="pct"/>
            <w:hideMark/>
          </w:tcPr>
          <w:p w:rsidR="00246985" w:rsidRPr="00246985" w:rsidRDefault="00246985" w:rsidP="00246985">
            <w:pPr>
              <w:spacing w:line="213" w:lineRule="exact"/>
              <w:rPr>
                <w:sz w:val="20"/>
                <w:szCs w:val="20"/>
              </w:rPr>
            </w:pPr>
            <w:r w:rsidRPr="00246985">
              <w:rPr>
                <w:sz w:val="20"/>
                <w:szCs w:val="20"/>
              </w:rPr>
              <w:t>Household size</w:t>
            </w:r>
          </w:p>
        </w:tc>
        <w:tc>
          <w:tcPr>
            <w:tcW w:w="1316" w:type="pct"/>
            <w:hideMark/>
          </w:tcPr>
          <w:p w:rsidR="00246985" w:rsidRPr="00246985" w:rsidRDefault="00246985" w:rsidP="00246985">
            <w:pPr>
              <w:spacing w:line="213" w:lineRule="exact"/>
              <w:cnfStyle w:val="000000000000"/>
              <w:rPr>
                <w:sz w:val="20"/>
                <w:szCs w:val="20"/>
              </w:rPr>
            </w:pPr>
            <w:r w:rsidRPr="00246985">
              <w:rPr>
                <w:sz w:val="20"/>
                <w:szCs w:val="20"/>
              </w:rPr>
              <w:t> </w:t>
            </w:r>
          </w:p>
        </w:tc>
        <w:tc>
          <w:tcPr>
            <w:tcW w:w="1141" w:type="pct"/>
            <w:hideMark/>
          </w:tcPr>
          <w:p w:rsidR="00246985" w:rsidRPr="00246985" w:rsidRDefault="00246985" w:rsidP="00246985">
            <w:pPr>
              <w:spacing w:line="213" w:lineRule="exact"/>
              <w:cnfStyle w:val="000000000000"/>
              <w:rPr>
                <w:sz w:val="20"/>
                <w:szCs w:val="20"/>
              </w:rPr>
            </w:pPr>
            <w:r w:rsidRPr="00246985">
              <w:rPr>
                <w:sz w:val="20"/>
                <w:szCs w:val="20"/>
              </w:rPr>
              <w:t> </w:t>
            </w:r>
          </w:p>
        </w:tc>
      </w:tr>
      <w:tr w:rsidR="00246985" w:rsidRPr="00246985" w:rsidTr="00A17BC2">
        <w:trPr>
          <w:cnfStyle w:val="000000100000"/>
          <w:trHeight w:val="330"/>
        </w:trPr>
        <w:tc>
          <w:tcPr>
            <w:cnfStyle w:val="001000000000"/>
            <w:tcW w:w="2543" w:type="pct"/>
            <w:hideMark/>
          </w:tcPr>
          <w:p w:rsidR="00246985" w:rsidRPr="00246985" w:rsidRDefault="00246985" w:rsidP="00246985">
            <w:pPr>
              <w:spacing w:line="213" w:lineRule="exact"/>
              <w:rPr>
                <w:sz w:val="20"/>
                <w:szCs w:val="20"/>
              </w:rPr>
            </w:pPr>
            <w:r w:rsidRPr="00246985">
              <w:rPr>
                <w:sz w:val="20"/>
                <w:szCs w:val="20"/>
              </w:rPr>
              <w:t>1-2</w:t>
            </w:r>
          </w:p>
        </w:tc>
        <w:tc>
          <w:tcPr>
            <w:tcW w:w="1316" w:type="pct"/>
            <w:hideMark/>
          </w:tcPr>
          <w:p w:rsidR="00246985" w:rsidRPr="00246985" w:rsidRDefault="00246985" w:rsidP="00246985">
            <w:pPr>
              <w:spacing w:line="213" w:lineRule="exact"/>
              <w:cnfStyle w:val="000000100000"/>
              <w:rPr>
                <w:sz w:val="20"/>
                <w:szCs w:val="20"/>
              </w:rPr>
            </w:pPr>
            <w:r w:rsidRPr="00246985">
              <w:rPr>
                <w:sz w:val="20"/>
                <w:szCs w:val="20"/>
              </w:rPr>
              <w:t>64</w:t>
            </w:r>
          </w:p>
        </w:tc>
        <w:tc>
          <w:tcPr>
            <w:tcW w:w="1141" w:type="pct"/>
            <w:hideMark/>
          </w:tcPr>
          <w:p w:rsidR="00246985" w:rsidRPr="00246985" w:rsidRDefault="00246985" w:rsidP="00246985">
            <w:pPr>
              <w:spacing w:line="213" w:lineRule="exact"/>
              <w:cnfStyle w:val="000000100000"/>
              <w:rPr>
                <w:sz w:val="20"/>
                <w:szCs w:val="20"/>
              </w:rPr>
            </w:pPr>
            <w:r w:rsidRPr="00246985">
              <w:rPr>
                <w:sz w:val="20"/>
                <w:szCs w:val="20"/>
              </w:rPr>
              <w:t>26</w:t>
            </w:r>
          </w:p>
        </w:tc>
      </w:tr>
      <w:tr w:rsidR="00246985" w:rsidRPr="00246985" w:rsidTr="00A17BC2">
        <w:trPr>
          <w:trHeight w:val="330"/>
        </w:trPr>
        <w:tc>
          <w:tcPr>
            <w:cnfStyle w:val="001000000000"/>
            <w:tcW w:w="2543" w:type="pct"/>
            <w:hideMark/>
          </w:tcPr>
          <w:p w:rsidR="00246985" w:rsidRPr="00246985" w:rsidRDefault="00246985" w:rsidP="00246985">
            <w:pPr>
              <w:spacing w:line="213" w:lineRule="exact"/>
              <w:rPr>
                <w:sz w:val="20"/>
                <w:szCs w:val="20"/>
              </w:rPr>
            </w:pPr>
            <w:r w:rsidRPr="00246985">
              <w:rPr>
                <w:sz w:val="20"/>
                <w:szCs w:val="20"/>
              </w:rPr>
              <w:t>3-4</w:t>
            </w:r>
          </w:p>
        </w:tc>
        <w:tc>
          <w:tcPr>
            <w:tcW w:w="1316" w:type="pct"/>
            <w:hideMark/>
          </w:tcPr>
          <w:p w:rsidR="00246985" w:rsidRPr="00246985" w:rsidRDefault="00246985" w:rsidP="00246985">
            <w:pPr>
              <w:spacing w:line="213" w:lineRule="exact"/>
              <w:cnfStyle w:val="000000000000"/>
              <w:rPr>
                <w:sz w:val="20"/>
                <w:szCs w:val="20"/>
              </w:rPr>
            </w:pPr>
            <w:r w:rsidRPr="00246985">
              <w:rPr>
                <w:sz w:val="20"/>
                <w:szCs w:val="20"/>
              </w:rPr>
              <w:t>109</w:t>
            </w:r>
          </w:p>
        </w:tc>
        <w:tc>
          <w:tcPr>
            <w:tcW w:w="1141" w:type="pct"/>
            <w:hideMark/>
          </w:tcPr>
          <w:p w:rsidR="00246985" w:rsidRPr="00246985" w:rsidRDefault="00246985" w:rsidP="00246985">
            <w:pPr>
              <w:spacing w:line="213" w:lineRule="exact"/>
              <w:cnfStyle w:val="000000000000"/>
              <w:rPr>
                <w:sz w:val="20"/>
                <w:szCs w:val="20"/>
              </w:rPr>
            </w:pPr>
            <w:r w:rsidRPr="00246985">
              <w:rPr>
                <w:sz w:val="20"/>
                <w:szCs w:val="20"/>
              </w:rPr>
              <w:t>44.3</w:t>
            </w:r>
          </w:p>
        </w:tc>
      </w:tr>
      <w:tr w:rsidR="00246985" w:rsidRPr="00246985" w:rsidTr="00A17BC2">
        <w:trPr>
          <w:cnfStyle w:val="000000100000"/>
          <w:trHeight w:val="330"/>
        </w:trPr>
        <w:tc>
          <w:tcPr>
            <w:cnfStyle w:val="001000000000"/>
            <w:tcW w:w="2543" w:type="pct"/>
            <w:hideMark/>
          </w:tcPr>
          <w:p w:rsidR="00246985" w:rsidRPr="00246985" w:rsidRDefault="00246985" w:rsidP="00246985">
            <w:pPr>
              <w:spacing w:line="213" w:lineRule="exact"/>
              <w:rPr>
                <w:sz w:val="20"/>
                <w:szCs w:val="20"/>
              </w:rPr>
            </w:pPr>
            <w:r w:rsidRPr="00246985">
              <w:rPr>
                <w:sz w:val="20"/>
                <w:szCs w:val="20"/>
              </w:rPr>
              <w:lastRenderedPageBreak/>
              <w:t>5 and above</w:t>
            </w:r>
          </w:p>
        </w:tc>
        <w:tc>
          <w:tcPr>
            <w:tcW w:w="1316" w:type="pct"/>
            <w:hideMark/>
          </w:tcPr>
          <w:p w:rsidR="00246985" w:rsidRPr="00246985" w:rsidRDefault="00246985" w:rsidP="00246985">
            <w:pPr>
              <w:spacing w:line="213" w:lineRule="exact"/>
              <w:cnfStyle w:val="000000100000"/>
              <w:rPr>
                <w:sz w:val="20"/>
                <w:szCs w:val="20"/>
              </w:rPr>
            </w:pPr>
            <w:r w:rsidRPr="00246985">
              <w:rPr>
                <w:sz w:val="20"/>
                <w:szCs w:val="20"/>
              </w:rPr>
              <w:t>73</w:t>
            </w:r>
          </w:p>
        </w:tc>
        <w:tc>
          <w:tcPr>
            <w:tcW w:w="1141" w:type="pct"/>
            <w:hideMark/>
          </w:tcPr>
          <w:p w:rsidR="00246985" w:rsidRPr="00246985" w:rsidRDefault="00246985" w:rsidP="00246985">
            <w:pPr>
              <w:spacing w:line="213" w:lineRule="exact"/>
              <w:cnfStyle w:val="000000100000"/>
              <w:rPr>
                <w:sz w:val="20"/>
                <w:szCs w:val="20"/>
              </w:rPr>
            </w:pPr>
            <w:r w:rsidRPr="00246985">
              <w:rPr>
                <w:sz w:val="20"/>
                <w:szCs w:val="20"/>
              </w:rPr>
              <w:t>29.7</w:t>
            </w:r>
          </w:p>
        </w:tc>
      </w:tr>
      <w:tr w:rsidR="00246985" w:rsidRPr="00246985" w:rsidTr="00A17BC2">
        <w:trPr>
          <w:trHeight w:val="330"/>
        </w:trPr>
        <w:tc>
          <w:tcPr>
            <w:cnfStyle w:val="001000000000"/>
            <w:tcW w:w="2543" w:type="pct"/>
            <w:hideMark/>
          </w:tcPr>
          <w:p w:rsidR="00246985" w:rsidRPr="00246985" w:rsidRDefault="00246985" w:rsidP="00246985">
            <w:pPr>
              <w:spacing w:line="213" w:lineRule="exact"/>
              <w:rPr>
                <w:sz w:val="20"/>
                <w:szCs w:val="20"/>
              </w:rPr>
            </w:pPr>
            <w:r w:rsidRPr="00246985">
              <w:rPr>
                <w:sz w:val="20"/>
                <w:szCs w:val="20"/>
              </w:rPr>
              <w:t>People you live with</w:t>
            </w:r>
          </w:p>
        </w:tc>
        <w:tc>
          <w:tcPr>
            <w:tcW w:w="1316" w:type="pct"/>
            <w:hideMark/>
          </w:tcPr>
          <w:p w:rsidR="00246985" w:rsidRPr="00246985" w:rsidRDefault="00246985" w:rsidP="00246985">
            <w:pPr>
              <w:spacing w:line="213" w:lineRule="exact"/>
              <w:cnfStyle w:val="000000000000"/>
              <w:rPr>
                <w:sz w:val="20"/>
                <w:szCs w:val="20"/>
              </w:rPr>
            </w:pPr>
            <w:r w:rsidRPr="00246985">
              <w:rPr>
                <w:sz w:val="20"/>
                <w:szCs w:val="20"/>
              </w:rPr>
              <w:t> </w:t>
            </w:r>
          </w:p>
        </w:tc>
        <w:tc>
          <w:tcPr>
            <w:tcW w:w="1141" w:type="pct"/>
            <w:hideMark/>
          </w:tcPr>
          <w:p w:rsidR="00246985" w:rsidRPr="00246985" w:rsidRDefault="00246985" w:rsidP="00246985">
            <w:pPr>
              <w:spacing w:line="213" w:lineRule="exact"/>
              <w:cnfStyle w:val="000000000000"/>
              <w:rPr>
                <w:sz w:val="20"/>
                <w:szCs w:val="20"/>
              </w:rPr>
            </w:pPr>
            <w:r w:rsidRPr="00246985">
              <w:rPr>
                <w:sz w:val="20"/>
                <w:szCs w:val="20"/>
              </w:rPr>
              <w:t> </w:t>
            </w:r>
          </w:p>
        </w:tc>
      </w:tr>
      <w:tr w:rsidR="00246985" w:rsidRPr="00246985" w:rsidTr="00A17BC2">
        <w:trPr>
          <w:cnfStyle w:val="000000100000"/>
          <w:trHeight w:val="330"/>
        </w:trPr>
        <w:tc>
          <w:tcPr>
            <w:cnfStyle w:val="001000000000"/>
            <w:tcW w:w="2543" w:type="pct"/>
            <w:hideMark/>
          </w:tcPr>
          <w:p w:rsidR="00246985" w:rsidRPr="00246985" w:rsidRDefault="00246985" w:rsidP="00246985">
            <w:pPr>
              <w:spacing w:line="213" w:lineRule="exact"/>
              <w:rPr>
                <w:sz w:val="20"/>
                <w:szCs w:val="20"/>
              </w:rPr>
            </w:pPr>
            <w:r w:rsidRPr="00246985">
              <w:rPr>
                <w:sz w:val="20"/>
                <w:szCs w:val="20"/>
              </w:rPr>
              <w:t>Parents</w:t>
            </w:r>
          </w:p>
        </w:tc>
        <w:tc>
          <w:tcPr>
            <w:tcW w:w="1316" w:type="pct"/>
            <w:hideMark/>
          </w:tcPr>
          <w:p w:rsidR="00246985" w:rsidRPr="00246985" w:rsidRDefault="00246985" w:rsidP="00246985">
            <w:pPr>
              <w:spacing w:line="213" w:lineRule="exact"/>
              <w:cnfStyle w:val="000000100000"/>
              <w:rPr>
                <w:sz w:val="20"/>
                <w:szCs w:val="20"/>
              </w:rPr>
            </w:pPr>
            <w:r w:rsidRPr="00246985">
              <w:rPr>
                <w:sz w:val="20"/>
                <w:szCs w:val="20"/>
              </w:rPr>
              <w:t>110</w:t>
            </w:r>
          </w:p>
        </w:tc>
        <w:tc>
          <w:tcPr>
            <w:tcW w:w="1141" w:type="pct"/>
            <w:hideMark/>
          </w:tcPr>
          <w:p w:rsidR="00246985" w:rsidRPr="00246985" w:rsidRDefault="00246985" w:rsidP="00246985">
            <w:pPr>
              <w:spacing w:line="213" w:lineRule="exact"/>
              <w:cnfStyle w:val="000000100000"/>
              <w:rPr>
                <w:sz w:val="20"/>
                <w:szCs w:val="20"/>
              </w:rPr>
            </w:pPr>
            <w:r w:rsidRPr="00246985">
              <w:rPr>
                <w:sz w:val="20"/>
                <w:szCs w:val="20"/>
              </w:rPr>
              <w:t>44.7</w:t>
            </w:r>
          </w:p>
        </w:tc>
      </w:tr>
      <w:tr w:rsidR="00246985" w:rsidRPr="00246985" w:rsidTr="00A17BC2">
        <w:trPr>
          <w:trHeight w:val="330"/>
        </w:trPr>
        <w:tc>
          <w:tcPr>
            <w:cnfStyle w:val="001000000000"/>
            <w:tcW w:w="2543" w:type="pct"/>
            <w:hideMark/>
          </w:tcPr>
          <w:p w:rsidR="00246985" w:rsidRPr="00246985" w:rsidRDefault="00246985" w:rsidP="00246985">
            <w:pPr>
              <w:spacing w:line="213" w:lineRule="exact"/>
              <w:rPr>
                <w:sz w:val="20"/>
                <w:szCs w:val="20"/>
              </w:rPr>
            </w:pPr>
            <w:r w:rsidRPr="00246985">
              <w:rPr>
                <w:sz w:val="20"/>
                <w:szCs w:val="20"/>
              </w:rPr>
              <w:t>Spouse</w:t>
            </w:r>
          </w:p>
        </w:tc>
        <w:tc>
          <w:tcPr>
            <w:tcW w:w="1316" w:type="pct"/>
            <w:hideMark/>
          </w:tcPr>
          <w:p w:rsidR="00246985" w:rsidRPr="00246985" w:rsidRDefault="00246985" w:rsidP="00246985">
            <w:pPr>
              <w:spacing w:line="213" w:lineRule="exact"/>
              <w:cnfStyle w:val="000000000000"/>
              <w:rPr>
                <w:sz w:val="20"/>
                <w:szCs w:val="20"/>
              </w:rPr>
            </w:pPr>
            <w:r w:rsidRPr="00246985">
              <w:rPr>
                <w:sz w:val="20"/>
                <w:szCs w:val="20"/>
              </w:rPr>
              <w:t>87</w:t>
            </w:r>
          </w:p>
        </w:tc>
        <w:tc>
          <w:tcPr>
            <w:tcW w:w="1141" w:type="pct"/>
            <w:hideMark/>
          </w:tcPr>
          <w:p w:rsidR="00246985" w:rsidRPr="00246985" w:rsidRDefault="00246985" w:rsidP="00246985">
            <w:pPr>
              <w:spacing w:line="213" w:lineRule="exact"/>
              <w:cnfStyle w:val="000000000000"/>
              <w:rPr>
                <w:sz w:val="20"/>
                <w:szCs w:val="20"/>
              </w:rPr>
            </w:pPr>
            <w:r w:rsidRPr="00246985">
              <w:rPr>
                <w:sz w:val="20"/>
                <w:szCs w:val="20"/>
              </w:rPr>
              <w:t>35.4</w:t>
            </w:r>
          </w:p>
        </w:tc>
      </w:tr>
      <w:tr w:rsidR="00246985" w:rsidRPr="00246985" w:rsidTr="00A17BC2">
        <w:trPr>
          <w:cnfStyle w:val="000000100000"/>
          <w:trHeight w:val="330"/>
        </w:trPr>
        <w:tc>
          <w:tcPr>
            <w:cnfStyle w:val="001000000000"/>
            <w:tcW w:w="2543" w:type="pct"/>
            <w:hideMark/>
          </w:tcPr>
          <w:p w:rsidR="00246985" w:rsidRPr="00246985" w:rsidRDefault="00246985" w:rsidP="00246985">
            <w:pPr>
              <w:spacing w:line="213" w:lineRule="exact"/>
              <w:rPr>
                <w:sz w:val="20"/>
                <w:szCs w:val="20"/>
              </w:rPr>
            </w:pPr>
            <w:r w:rsidRPr="00246985">
              <w:rPr>
                <w:sz w:val="20"/>
                <w:szCs w:val="20"/>
              </w:rPr>
              <w:t>Friends</w:t>
            </w:r>
          </w:p>
        </w:tc>
        <w:tc>
          <w:tcPr>
            <w:tcW w:w="1316" w:type="pct"/>
            <w:hideMark/>
          </w:tcPr>
          <w:p w:rsidR="00246985" w:rsidRPr="00246985" w:rsidRDefault="00246985" w:rsidP="00246985">
            <w:pPr>
              <w:spacing w:line="213" w:lineRule="exact"/>
              <w:cnfStyle w:val="000000100000"/>
              <w:rPr>
                <w:sz w:val="20"/>
                <w:szCs w:val="20"/>
              </w:rPr>
            </w:pPr>
            <w:r w:rsidRPr="00246985">
              <w:rPr>
                <w:sz w:val="20"/>
                <w:szCs w:val="20"/>
              </w:rPr>
              <w:t>9</w:t>
            </w:r>
          </w:p>
        </w:tc>
        <w:tc>
          <w:tcPr>
            <w:tcW w:w="1141" w:type="pct"/>
            <w:hideMark/>
          </w:tcPr>
          <w:p w:rsidR="00246985" w:rsidRPr="00246985" w:rsidRDefault="00246985" w:rsidP="00246985">
            <w:pPr>
              <w:spacing w:line="213" w:lineRule="exact"/>
              <w:cnfStyle w:val="000000100000"/>
              <w:rPr>
                <w:sz w:val="20"/>
                <w:szCs w:val="20"/>
              </w:rPr>
            </w:pPr>
            <w:r w:rsidRPr="00246985">
              <w:rPr>
                <w:sz w:val="20"/>
                <w:szCs w:val="20"/>
              </w:rPr>
              <w:t>3.7</w:t>
            </w:r>
          </w:p>
        </w:tc>
      </w:tr>
      <w:tr w:rsidR="00246985" w:rsidRPr="00246985" w:rsidTr="00A17BC2">
        <w:trPr>
          <w:trHeight w:val="330"/>
        </w:trPr>
        <w:tc>
          <w:tcPr>
            <w:cnfStyle w:val="001000000000"/>
            <w:tcW w:w="2543" w:type="pct"/>
            <w:hideMark/>
          </w:tcPr>
          <w:p w:rsidR="00246985" w:rsidRPr="00246985" w:rsidRDefault="00246985" w:rsidP="00246985">
            <w:pPr>
              <w:spacing w:line="213" w:lineRule="exact"/>
              <w:rPr>
                <w:sz w:val="20"/>
                <w:szCs w:val="20"/>
              </w:rPr>
            </w:pPr>
            <w:r w:rsidRPr="00246985">
              <w:rPr>
                <w:sz w:val="20"/>
                <w:szCs w:val="20"/>
              </w:rPr>
              <w:t>Relatives</w:t>
            </w:r>
          </w:p>
        </w:tc>
        <w:tc>
          <w:tcPr>
            <w:tcW w:w="1316" w:type="pct"/>
            <w:hideMark/>
          </w:tcPr>
          <w:p w:rsidR="00246985" w:rsidRPr="00246985" w:rsidRDefault="00246985" w:rsidP="00246985">
            <w:pPr>
              <w:spacing w:line="213" w:lineRule="exact"/>
              <w:cnfStyle w:val="000000000000"/>
              <w:rPr>
                <w:sz w:val="20"/>
                <w:szCs w:val="20"/>
              </w:rPr>
            </w:pPr>
            <w:r w:rsidRPr="00246985">
              <w:rPr>
                <w:sz w:val="20"/>
                <w:szCs w:val="20"/>
              </w:rPr>
              <w:t>35</w:t>
            </w:r>
          </w:p>
        </w:tc>
        <w:tc>
          <w:tcPr>
            <w:tcW w:w="1141" w:type="pct"/>
            <w:hideMark/>
          </w:tcPr>
          <w:p w:rsidR="00246985" w:rsidRPr="00246985" w:rsidRDefault="00246985" w:rsidP="00246985">
            <w:pPr>
              <w:spacing w:line="213" w:lineRule="exact"/>
              <w:cnfStyle w:val="000000000000"/>
              <w:rPr>
                <w:sz w:val="20"/>
                <w:szCs w:val="20"/>
              </w:rPr>
            </w:pPr>
            <w:r w:rsidRPr="00246985">
              <w:rPr>
                <w:sz w:val="20"/>
                <w:szCs w:val="20"/>
              </w:rPr>
              <w:t>14.2</w:t>
            </w:r>
          </w:p>
        </w:tc>
      </w:tr>
      <w:tr w:rsidR="00246985" w:rsidRPr="00246985" w:rsidTr="00A17BC2">
        <w:trPr>
          <w:cnfStyle w:val="000000100000"/>
          <w:trHeight w:val="330"/>
        </w:trPr>
        <w:tc>
          <w:tcPr>
            <w:cnfStyle w:val="001000000000"/>
            <w:tcW w:w="2543" w:type="pct"/>
            <w:hideMark/>
          </w:tcPr>
          <w:p w:rsidR="00246985" w:rsidRPr="00246985" w:rsidRDefault="00246985" w:rsidP="00246985">
            <w:pPr>
              <w:spacing w:line="213" w:lineRule="exact"/>
              <w:rPr>
                <w:sz w:val="20"/>
                <w:szCs w:val="20"/>
              </w:rPr>
            </w:pPr>
            <w:r w:rsidRPr="00246985">
              <w:rPr>
                <w:sz w:val="20"/>
                <w:szCs w:val="20"/>
              </w:rPr>
              <w:t>Staying alone</w:t>
            </w:r>
          </w:p>
        </w:tc>
        <w:tc>
          <w:tcPr>
            <w:tcW w:w="1316" w:type="pct"/>
            <w:hideMark/>
          </w:tcPr>
          <w:p w:rsidR="00246985" w:rsidRPr="00246985" w:rsidRDefault="00246985" w:rsidP="00246985">
            <w:pPr>
              <w:spacing w:line="213" w:lineRule="exact"/>
              <w:cnfStyle w:val="000000100000"/>
              <w:rPr>
                <w:sz w:val="20"/>
                <w:szCs w:val="20"/>
              </w:rPr>
            </w:pPr>
            <w:r w:rsidRPr="00246985">
              <w:rPr>
                <w:sz w:val="20"/>
                <w:szCs w:val="20"/>
              </w:rPr>
              <w:t>5</w:t>
            </w:r>
          </w:p>
        </w:tc>
        <w:tc>
          <w:tcPr>
            <w:tcW w:w="1141" w:type="pct"/>
            <w:hideMark/>
          </w:tcPr>
          <w:p w:rsidR="00246985" w:rsidRPr="00246985" w:rsidRDefault="00246985" w:rsidP="00246985">
            <w:pPr>
              <w:spacing w:line="213" w:lineRule="exact"/>
              <w:cnfStyle w:val="000000100000"/>
              <w:rPr>
                <w:sz w:val="20"/>
                <w:szCs w:val="20"/>
              </w:rPr>
            </w:pPr>
            <w:r w:rsidRPr="00246985">
              <w:rPr>
                <w:sz w:val="20"/>
                <w:szCs w:val="20"/>
              </w:rPr>
              <w:t>2</w:t>
            </w:r>
          </w:p>
        </w:tc>
      </w:tr>
    </w:tbl>
    <w:p w:rsidR="00C322FF" w:rsidRDefault="00C322FF">
      <w:pPr>
        <w:spacing w:line="213" w:lineRule="exact"/>
        <w:rPr>
          <w:sz w:val="20"/>
          <w:szCs w:val="20"/>
        </w:rPr>
      </w:pPr>
    </w:p>
    <w:p w:rsidR="00246985" w:rsidRDefault="00246985">
      <w:pPr>
        <w:spacing w:line="213" w:lineRule="exact"/>
        <w:rPr>
          <w:sz w:val="20"/>
          <w:szCs w:val="20"/>
        </w:rPr>
      </w:pPr>
    </w:p>
    <w:p w:rsidR="00246985" w:rsidRDefault="00246985">
      <w:pPr>
        <w:spacing w:line="213" w:lineRule="exact"/>
        <w:rPr>
          <w:sz w:val="20"/>
          <w:szCs w:val="20"/>
        </w:rPr>
      </w:pPr>
    </w:p>
    <w:p w:rsidR="00C322FF" w:rsidRDefault="00B77746">
      <w:pPr>
        <w:spacing w:line="267" w:lineRule="auto"/>
        <w:ind w:left="860" w:right="920" w:hanging="359"/>
        <w:rPr>
          <w:sz w:val="20"/>
          <w:szCs w:val="20"/>
        </w:rPr>
      </w:pPr>
      <w:r>
        <w:rPr>
          <w:rFonts w:ascii="Arial" w:eastAsia="Arial" w:hAnsi="Arial" w:cs="Arial"/>
          <w:i/>
          <w:iCs/>
          <w:sz w:val="24"/>
          <w:szCs w:val="24"/>
        </w:rPr>
        <w:t xml:space="preserve">6.2 </w:t>
      </w:r>
      <w:r w:rsidR="00F96342">
        <w:rPr>
          <w:rFonts w:ascii="Arial" w:eastAsia="Arial" w:hAnsi="Arial" w:cs="Arial"/>
          <w:i/>
          <w:iCs/>
          <w:sz w:val="24"/>
          <w:szCs w:val="24"/>
        </w:rPr>
        <w:t>Infant feeding practices</w:t>
      </w:r>
    </w:p>
    <w:p w:rsidR="00C322FF" w:rsidRDefault="00C322FF">
      <w:pPr>
        <w:spacing w:line="178" w:lineRule="exact"/>
        <w:rPr>
          <w:sz w:val="20"/>
          <w:szCs w:val="20"/>
        </w:rPr>
      </w:pPr>
    </w:p>
    <w:p w:rsidR="00246985" w:rsidRDefault="00246985" w:rsidP="00284D30">
      <w:pPr>
        <w:spacing w:line="276" w:lineRule="auto"/>
        <w:rPr>
          <w:rFonts w:ascii="Arial" w:eastAsia="Arial" w:hAnsi="Arial" w:cs="Arial"/>
          <w:sz w:val="24"/>
          <w:szCs w:val="24"/>
        </w:rPr>
      </w:pPr>
      <w:r w:rsidRPr="00246985">
        <w:rPr>
          <w:rFonts w:ascii="Arial" w:eastAsia="Arial" w:hAnsi="Arial" w:cs="Arial"/>
          <w:sz w:val="24"/>
          <w:szCs w:val="24"/>
        </w:rPr>
        <w:t>The study findings showed that overall majority (95.5%) of the children were still breastfeeding</w:t>
      </w:r>
      <w:r w:rsidR="005F2AEF">
        <w:rPr>
          <w:rFonts w:ascii="Arial" w:eastAsia="Arial" w:hAnsi="Arial" w:cs="Arial"/>
          <w:sz w:val="24"/>
          <w:szCs w:val="24"/>
        </w:rPr>
        <w:t xml:space="preserve"> at the time of study.</w:t>
      </w:r>
      <w:r w:rsidRPr="00246985">
        <w:rPr>
          <w:rFonts w:ascii="Arial" w:eastAsia="Arial" w:hAnsi="Arial" w:cs="Arial"/>
          <w:sz w:val="24"/>
          <w:szCs w:val="24"/>
        </w:rPr>
        <w:t xml:space="preserve"> Half of the adolescent mothers (50.0%) were exclusively breastfeeding their infants at the time of the study. However, an analysis of the distribution of breastfeeding by age groups of the infant showed a decrease in exclusive breastfeeding rates. It was highest (48.8%) for infants below six months and lowest (24%) for those aged 6 – 8 months</w:t>
      </w:r>
      <w:r w:rsidR="005F2AEF">
        <w:rPr>
          <w:rFonts w:ascii="Arial" w:eastAsia="Arial" w:hAnsi="Arial" w:cs="Arial"/>
          <w:sz w:val="24"/>
          <w:szCs w:val="24"/>
        </w:rPr>
        <w:t>.</w:t>
      </w:r>
      <w:r w:rsidRPr="00246985">
        <w:rPr>
          <w:rFonts w:eastAsia="Times New Roman"/>
          <w:sz w:val="24"/>
          <w:szCs w:val="24"/>
        </w:rPr>
        <w:t xml:space="preserve"> </w:t>
      </w:r>
      <w:r w:rsidRPr="00246985">
        <w:rPr>
          <w:rFonts w:ascii="Arial" w:eastAsia="Arial" w:hAnsi="Arial" w:cs="Arial"/>
          <w:sz w:val="24"/>
          <w:szCs w:val="24"/>
        </w:rPr>
        <w:t>In this study, most of the adolescent mothers reported that infants were initiated to breast milk within the first hour (62.2%) while (37.8%) were initiated after one hour of birth (Table 4.4). The mothers who initiated after one hour (37.8%) reported no milk (9.8%) and cultural influence (1.6%) as the reasons for late initiation.</w:t>
      </w:r>
    </w:p>
    <w:p w:rsidR="00A77A8B" w:rsidRDefault="00A77A8B" w:rsidP="00284D30">
      <w:pPr>
        <w:spacing w:line="276" w:lineRule="auto"/>
        <w:rPr>
          <w:rFonts w:ascii="Arial" w:eastAsia="Arial" w:hAnsi="Arial" w:cs="Arial"/>
          <w:sz w:val="24"/>
          <w:szCs w:val="24"/>
        </w:rPr>
      </w:pPr>
    </w:p>
    <w:p w:rsidR="00A77A8B" w:rsidRDefault="00A77A8B" w:rsidP="00284D30">
      <w:pPr>
        <w:spacing w:line="276" w:lineRule="auto"/>
        <w:rPr>
          <w:rFonts w:ascii="Arial" w:eastAsia="Arial" w:hAnsi="Arial" w:cs="Arial"/>
          <w:sz w:val="24"/>
          <w:szCs w:val="24"/>
        </w:rPr>
      </w:pPr>
    </w:p>
    <w:tbl>
      <w:tblPr>
        <w:tblW w:w="4992" w:type="pct"/>
        <w:tblBorders>
          <w:top w:val="single" w:sz="4" w:space="0" w:color="9BBB59" w:themeColor="accent3"/>
          <w:bottom w:val="single" w:sz="4" w:space="0" w:color="9BBB59" w:themeColor="accent3"/>
        </w:tblBorders>
        <w:tblCellMar>
          <w:left w:w="0" w:type="dxa"/>
          <w:right w:w="0" w:type="dxa"/>
        </w:tblCellMar>
        <w:tblLook w:val="04A0"/>
      </w:tblPr>
      <w:tblGrid>
        <w:gridCol w:w="51"/>
        <w:gridCol w:w="5614"/>
        <w:gridCol w:w="1214"/>
        <w:gridCol w:w="2127"/>
      </w:tblGrid>
      <w:tr w:rsidR="00A77A8B" w:rsidRPr="00A77A8B" w:rsidTr="00A17BC2">
        <w:trPr>
          <w:trHeight w:val="279"/>
        </w:trPr>
        <w:tc>
          <w:tcPr>
            <w:tcW w:w="52" w:type="dxa"/>
            <w:vAlign w:val="bottom"/>
          </w:tcPr>
          <w:p w:rsidR="00A77A8B" w:rsidRPr="00A77A8B" w:rsidRDefault="00A77A8B" w:rsidP="00A77A8B">
            <w:pPr>
              <w:spacing w:line="276" w:lineRule="auto"/>
              <w:rPr>
                <w:rFonts w:ascii="Arial" w:eastAsia="Arial" w:hAnsi="Arial" w:cs="Arial"/>
                <w:sz w:val="24"/>
                <w:szCs w:val="24"/>
              </w:rPr>
            </w:pPr>
          </w:p>
        </w:tc>
        <w:tc>
          <w:tcPr>
            <w:tcW w:w="5661" w:type="dxa"/>
            <w:tcBorders>
              <w:bottom w:val="single" w:sz="4" w:space="0" w:color="C0504D" w:themeColor="accent2"/>
            </w:tcBorders>
            <w:vAlign w:val="bottom"/>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b/>
                <w:bCs/>
                <w:sz w:val="24"/>
                <w:szCs w:val="24"/>
              </w:rPr>
              <w:t>Breast feeding practices(n=246)</w:t>
            </w:r>
          </w:p>
        </w:tc>
        <w:tc>
          <w:tcPr>
            <w:tcW w:w="1145" w:type="dxa"/>
            <w:tcBorders>
              <w:bottom w:val="single" w:sz="4" w:space="0" w:color="C0504D" w:themeColor="accent2"/>
            </w:tcBorders>
            <w:vAlign w:val="bottom"/>
          </w:tcPr>
          <w:p w:rsidR="00A77A8B" w:rsidRPr="00A77A8B" w:rsidRDefault="00A77A8B" w:rsidP="00A77A8B">
            <w:pPr>
              <w:spacing w:line="276" w:lineRule="auto"/>
              <w:rPr>
                <w:rFonts w:ascii="Arial" w:eastAsia="Arial" w:hAnsi="Arial" w:cs="Arial"/>
                <w:b/>
                <w:sz w:val="24"/>
                <w:szCs w:val="24"/>
              </w:rPr>
            </w:pPr>
            <w:r w:rsidRPr="00A77A8B">
              <w:rPr>
                <w:rFonts w:ascii="Arial" w:eastAsia="Arial" w:hAnsi="Arial" w:cs="Arial"/>
                <w:b/>
                <w:sz w:val="24"/>
                <w:szCs w:val="24"/>
              </w:rPr>
              <w:t>Frequency</w:t>
            </w:r>
          </w:p>
        </w:tc>
        <w:tc>
          <w:tcPr>
            <w:tcW w:w="2148" w:type="dxa"/>
            <w:tcBorders>
              <w:bottom w:val="single" w:sz="4" w:space="0" w:color="C0504D" w:themeColor="accent2"/>
            </w:tcBorders>
            <w:vAlign w:val="bottom"/>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b/>
                <w:bCs/>
                <w:sz w:val="24"/>
                <w:szCs w:val="24"/>
              </w:rPr>
              <w:t xml:space="preserve"> %</w:t>
            </w:r>
          </w:p>
        </w:tc>
      </w:tr>
      <w:tr w:rsidR="00A77A8B" w:rsidRPr="00A77A8B" w:rsidTr="00A17BC2">
        <w:trPr>
          <w:trHeight w:val="562"/>
        </w:trPr>
        <w:tc>
          <w:tcPr>
            <w:tcW w:w="52" w:type="dxa"/>
            <w:vAlign w:val="bottom"/>
          </w:tcPr>
          <w:p w:rsidR="00A77A8B" w:rsidRPr="00A77A8B" w:rsidRDefault="00A77A8B" w:rsidP="00A77A8B">
            <w:pPr>
              <w:spacing w:line="276" w:lineRule="auto"/>
              <w:rPr>
                <w:rFonts w:ascii="Arial" w:eastAsia="Arial" w:hAnsi="Arial" w:cs="Arial"/>
                <w:sz w:val="24"/>
                <w:szCs w:val="24"/>
              </w:rPr>
            </w:pPr>
          </w:p>
        </w:tc>
        <w:tc>
          <w:tcPr>
            <w:tcW w:w="5661" w:type="dxa"/>
            <w:vAlign w:val="center"/>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b/>
                <w:bCs/>
                <w:sz w:val="24"/>
                <w:szCs w:val="24"/>
              </w:rPr>
              <w:t>Early initiation of breastfeeding (1-12months)</w:t>
            </w:r>
          </w:p>
        </w:tc>
        <w:tc>
          <w:tcPr>
            <w:tcW w:w="1145" w:type="dxa"/>
            <w:vAlign w:val="center"/>
          </w:tcPr>
          <w:p w:rsidR="00A77A8B" w:rsidRPr="00A77A8B" w:rsidRDefault="00A77A8B" w:rsidP="00A77A8B">
            <w:pPr>
              <w:spacing w:line="276" w:lineRule="auto"/>
              <w:rPr>
                <w:rFonts w:ascii="Arial" w:eastAsia="Arial" w:hAnsi="Arial" w:cs="Arial"/>
                <w:sz w:val="24"/>
                <w:szCs w:val="24"/>
              </w:rPr>
            </w:pPr>
          </w:p>
        </w:tc>
        <w:tc>
          <w:tcPr>
            <w:tcW w:w="2148" w:type="dxa"/>
            <w:vAlign w:val="center"/>
          </w:tcPr>
          <w:p w:rsidR="00A77A8B" w:rsidRPr="00A77A8B" w:rsidRDefault="00A77A8B" w:rsidP="00A77A8B">
            <w:pPr>
              <w:spacing w:line="276" w:lineRule="auto"/>
              <w:rPr>
                <w:rFonts w:ascii="Arial" w:eastAsia="Arial" w:hAnsi="Arial" w:cs="Arial"/>
                <w:sz w:val="24"/>
                <w:szCs w:val="24"/>
              </w:rPr>
            </w:pPr>
          </w:p>
        </w:tc>
      </w:tr>
      <w:tr w:rsidR="00A77A8B" w:rsidRPr="00A77A8B" w:rsidTr="00A17BC2">
        <w:trPr>
          <w:trHeight w:val="353"/>
        </w:trPr>
        <w:tc>
          <w:tcPr>
            <w:tcW w:w="52" w:type="dxa"/>
            <w:vAlign w:val="bottom"/>
          </w:tcPr>
          <w:p w:rsidR="00A77A8B" w:rsidRPr="00A77A8B" w:rsidRDefault="00A77A8B" w:rsidP="00A77A8B">
            <w:pPr>
              <w:spacing w:line="276" w:lineRule="auto"/>
              <w:rPr>
                <w:rFonts w:ascii="Arial" w:eastAsia="Arial" w:hAnsi="Arial" w:cs="Arial"/>
                <w:sz w:val="24"/>
                <w:szCs w:val="24"/>
              </w:rPr>
            </w:pPr>
          </w:p>
        </w:tc>
        <w:tc>
          <w:tcPr>
            <w:tcW w:w="5661" w:type="dxa"/>
            <w:vAlign w:val="center"/>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After one hour</w:t>
            </w:r>
          </w:p>
        </w:tc>
        <w:tc>
          <w:tcPr>
            <w:tcW w:w="1145" w:type="dxa"/>
            <w:vAlign w:val="center"/>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93</w:t>
            </w:r>
          </w:p>
        </w:tc>
        <w:tc>
          <w:tcPr>
            <w:tcW w:w="2148" w:type="dxa"/>
            <w:vAlign w:val="center"/>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37.8</w:t>
            </w:r>
          </w:p>
        </w:tc>
      </w:tr>
      <w:tr w:rsidR="00A77A8B" w:rsidRPr="00A77A8B" w:rsidTr="00A17BC2">
        <w:trPr>
          <w:trHeight w:val="130"/>
        </w:trPr>
        <w:tc>
          <w:tcPr>
            <w:tcW w:w="52" w:type="dxa"/>
            <w:vAlign w:val="bottom"/>
          </w:tcPr>
          <w:p w:rsidR="00A77A8B" w:rsidRPr="00A77A8B" w:rsidRDefault="00A77A8B" w:rsidP="00A77A8B">
            <w:pPr>
              <w:spacing w:line="276" w:lineRule="auto"/>
              <w:rPr>
                <w:rFonts w:ascii="Arial" w:eastAsia="Arial" w:hAnsi="Arial" w:cs="Arial"/>
                <w:sz w:val="24"/>
                <w:szCs w:val="24"/>
              </w:rPr>
            </w:pPr>
          </w:p>
        </w:tc>
        <w:tc>
          <w:tcPr>
            <w:tcW w:w="5661" w:type="dxa"/>
            <w:vAlign w:val="center"/>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Within the first one hour</w:t>
            </w:r>
          </w:p>
        </w:tc>
        <w:tc>
          <w:tcPr>
            <w:tcW w:w="1145" w:type="dxa"/>
            <w:vAlign w:val="center"/>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153</w:t>
            </w:r>
          </w:p>
        </w:tc>
        <w:tc>
          <w:tcPr>
            <w:tcW w:w="2148" w:type="dxa"/>
            <w:vAlign w:val="center"/>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62.2</w:t>
            </w:r>
          </w:p>
        </w:tc>
      </w:tr>
      <w:tr w:rsidR="00A77A8B" w:rsidRPr="00A77A8B" w:rsidTr="00A17BC2">
        <w:trPr>
          <w:trHeight w:val="94"/>
        </w:trPr>
        <w:tc>
          <w:tcPr>
            <w:tcW w:w="52" w:type="dxa"/>
            <w:vAlign w:val="bottom"/>
          </w:tcPr>
          <w:p w:rsidR="00A77A8B" w:rsidRPr="00A77A8B" w:rsidRDefault="00A77A8B" w:rsidP="00A77A8B">
            <w:pPr>
              <w:spacing w:line="276" w:lineRule="auto"/>
              <w:rPr>
                <w:rFonts w:ascii="Arial" w:eastAsia="Arial" w:hAnsi="Arial" w:cs="Arial"/>
                <w:sz w:val="24"/>
                <w:szCs w:val="24"/>
              </w:rPr>
            </w:pPr>
          </w:p>
        </w:tc>
        <w:tc>
          <w:tcPr>
            <w:tcW w:w="5661" w:type="dxa"/>
            <w:vAlign w:val="center"/>
          </w:tcPr>
          <w:p w:rsidR="00A77A8B" w:rsidRPr="00A77A8B" w:rsidRDefault="00A77A8B" w:rsidP="00A77A8B">
            <w:pPr>
              <w:spacing w:line="276" w:lineRule="auto"/>
              <w:rPr>
                <w:rFonts w:ascii="Arial" w:eastAsia="Arial" w:hAnsi="Arial" w:cs="Arial"/>
                <w:b/>
                <w:sz w:val="24"/>
                <w:szCs w:val="24"/>
              </w:rPr>
            </w:pPr>
            <w:r w:rsidRPr="00A77A8B">
              <w:rPr>
                <w:rFonts w:ascii="Arial" w:eastAsia="Arial" w:hAnsi="Arial" w:cs="Arial"/>
                <w:b/>
                <w:sz w:val="24"/>
                <w:szCs w:val="24"/>
              </w:rPr>
              <w:t>Foods given in the first hour</w:t>
            </w:r>
          </w:p>
        </w:tc>
        <w:tc>
          <w:tcPr>
            <w:tcW w:w="1145" w:type="dxa"/>
            <w:vAlign w:val="center"/>
          </w:tcPr>
          <w:p w:rsidR="00A77A8B" w:rsidRPr="00A77A8B" w:rsidRDefault="00A77A8B" w:rsidP="00A77A8B">
            <w:pPr>
              <w:spacing w:line="276" w:lineRule="auto"/>
              <w:rPr>
                <w:rFonts w:ascii="Arial" w:eastAsia="Arial" w:hAnsi="Arial" w:cs="Arial"/>
                <w:sz w:val="24"/>
                <w:szCs w:val="24"/>
              </w:rPr>
            </w:pPr>
          </w:p>
        </w:tc>
        <w:tc>
          <w:tcPr>
            <w:tcW w:w="2148" w:type="dxa"/>
            <w:vAlign w:val="center"/>
          </w:tcPr>
          <w:p w:rsidR="00A77A8B" w:rsidRPr="00A77A8B" w:rsidRDefault="00A77A8B" w:rsidP="00A77A8B">
            <w:pPr>
              <w:spacing w:line="276" w:lineRule="auto"/>
              <w:rPr>
                <w:rFonts w:ascii="Arial" w:eastAsia="Arial" w:hAnsi="Arial" w:cs="Arial"/>
                <w:sz w:val="24"/>
                <w:szCs w:val="24"/>
              </w:rPr>
            </w:pPr>
          </w:p>
        </w:tc>
      </w:tr>
      <w:tr w:rsidR="00A77A8B" w:rsidRPr="00A77A8B" w:rsidTr="00A17BC2">
        <w:trPr>
          <w:trHeight w:val="274"/>
        </w:trPr>
        <w:tc>
          <w:tcPr>
            <w:tcW w:w="52" w:type="dxa"/>
            <w:vAlign w:val="bottom"/>
          </w:tcPr>
          <w:p w:rsidR="00A77A8B" w:rsidRPr="00A77A8B" w:rsidRDefault="00A77A8B" w:rsidP="00A77A8B">
            <w:pPr>
              <w:spacing w:line="276" w:lineRule="auto"/>
              <w:rPr>
                <w:rFonts w:ascii="Arial" w:eastAsia="Arial" w:hAnsi="Arial" w:cs="Arial"/>
                <w:sz w:val="24"/>
                <w:szCs w:val="24"/>
              </w:rPr>
            </w:pPr>
          </w:p>
        </w:tc>
        <w:tc>
          <w:tcPr>
            <w:tcW w:w="5661" w:type="dxa"/>
            <w:vAlign w:val="center"/>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Plain water</w:t>
            </w:r>
          </w:p>
        </w:tc>
        <w:tc>
          <w:tcPr>
            <w:tcW w:w="1145" w:type="dxa"/>
            <w:vAlign w:val="center"/>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19</w:t>
            </w:r>
          </w:p>
        </w:tc>
        <w:tc>
          <w:tcPr>
            <w:tcW w:w="2148" w:type="dxa"/>
            <w:vAlign w:val="center"/>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7.7</w:t>
            </w:r>
          </w:p>
        </w:tc>
      </w:tr>
      <w:tr w:rsidR="00A77A8B" w:rsidRPr="00A77A8B" w:rsidTr="00A17BC2">
        <w:trPr>
          <w:trHeight w:val="355"/>
        </w:trPr>
        <w:tc>
          <w:tcPr>
            <w:tcW w:w="52" w:type="dxa"/>
            <w:vAlign w:val="bottom"/>
          </w:tcPr>
          <w:p w:rsidR="00A77A8B" w:rsidRPr="00A77A8B" w:rsidRDefault="00A77A8B" w:rsidP="00A77A8B">
            <w:pPr>
              <w:spacing w:line="276" w:lineRule="auto"/>
              <w:rPr>
                <w:rFonts w:ascii="Arial" w:eastAsia="Arial" w:hAnsi="Arial" w:cs="Arial"/>
                <w:sz w:val="24"/>
                <w:szCs w:val="24"/>
              </w:rPr>
            </w:pPr>
          </w:p>
        </w:tc>
        <w:tc>
          <w:tcPr>
            <w:tcW w:w="5661" w:type="dxa"/>
            <w:vAlign w:val="center"/>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Salt and water</w:t>
            </w:r>
          </w:p>
        </w:tc>
        <w:tc>
          <w:tcPr>
            <w:tcW w:w="1145" w:type="dxa"/>
            <w:vAlign w:val="center"/>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4</w:t>
            </w:r>
          </w:p>
        </w:tc>
        <w:tc>
          <w:tcPr>
            <w:tcW w:w="2148" w:type="dxa"/>
            <w:vAlign w:val="center"/>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1.6</w:t>
            </w:r>
          </w:p>
        </w:tc>
      </w:tr>
      <w:tr w:rsidR="00A77A8B" w:rsidRPr="00A77A8B" w:rsidTr="00A17BC2">
        <w:trPr>
          <w:trHeight w:val="94"/>
        </w:trPr>
        <w:tc>
          <w:tcPr>
            <w:tcW w:w="52" w:type="dxa"/>
            <w:vAlign w:val="bottom"/>
          </w:tcPr>
          <w:p w:rsidR="00A77A8B" w:rsidRPr="00A77A8B" w:rsidRDefault="00A77A8B" w:rsidP="00A77A8B">
            <w:pPr>
              <w:spacing w:line="276" w:lineRule="auto"/>
              <w:rPr>
                <w:rFonts w:ascii="Arial" w:eastAsia="Arial" w:hAnsi="Arial" w:cs="Arial"/>
                <w:sz w:val="24"/>
                <w:szCs w:val="24"/>
              </w:rPr>
            </w:pPr>
          </w:p>
        </w:tc>
        <w:tc>
          <w:tcPr>
            <w:tcW w:w="5661" w:type="dxa"/>
            <w:vAlign w:val="center"/>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Sugar and water</w:t>
            </w:r>
          </w:p>
        </w:tc>
        <w:tc>
          <w:tcPr>
            <w:tcW w:w="1145" w:type="dxa"/>
            <w:vAlign w:val="center"/>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18</w:t>
            </w:r>
          </w:p>
        </w:tc>
        <w:tc>
          <w:tcPr>
            <w:tcW w:w="2148" w:type="dxa"/>
            <w:vAlign w:val="center"/>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7.3</w:t>
            </w:r>
          </w:p>
        </w:tc>
      </w:tr>
      <w:tr w:rsidR="00A77A8B" w:rsidRPr="00A77A8B" w:rsidTr="00A17BC2">
        <w:trPr>
          <w:trHeight w:val="265"/>
        </w:trPr>
        <w:tc>
          <w:tcPr>
            <w:tcW w:w="52" w:type="dxa"/>
            <w:vAlign w:val="bottom"/>
          </w:tcPr>
          <w:p w:rsidR="00A77A8B" w:rsidRPr="00A77A8B" w:rsidRDefault="00A77A8B" w:rsidP="00A77A8B">
            <w:pPr>
              <w:spacing w:line="276" w:lineRule="auto"/>
              <w:rPr>
                <w:rFonts w:ascii="Arial" w:eastAsia="Arial" w:hAnsi="Arial" w:cs="Arial"/>
                <w:sz w:val="24"/>
                <w:szCs w:val="24"/>
              </w:rPr>
            </w:pPr>
          </w:p>
        </w:tc>
        <w:tc>
          <w:tcPr>
            <w:tcW w:w="5661" w:type="dxa"/>
            <w:vAlign w:val="center"/>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Cow’s milk</w:t>
            </w:r>
          </w:p>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Nothing given</w:t>
            </w:r>
          </w:p>
        </w:tc>
        <w:tc>
          <w:tcPr>
            <w:tcW w:w="1145" w:type="dxa"/>
            <w:vAlign w:val="center"/>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1</w:t>
            </w:r>
          </w:p>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239</w:t>
            </w:r>
          </w:p>
        </w:tc>
        <w:tc>
          <w:tcPr>
            <w:tcW w:w="2148" w:type="dxa"/>
            <w:vAlign w:val="center"/>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.4</w:t>
            </w:r>
          </w:p>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97.2</w:t>
            </w:r>
          </w:p>
        </w:tc>
      </w:tr>
      <w:tr w:rsidR="00A77A8B" w:rsidRPr="00A77A8B" w:rsidTr="00A17BC2">
        <w:trPr>
          <w:trHeight w:val="265"/>
        </w:trPr>
        <w:tc>
          <w:tcPr>
            <w:tcW w:w="52" w:type="dxa"/>
            <w:vAlign w:val="bottom"/>
          </w:tcPr>
          <w:p w:rsidR="00A77A8B" w:rsidRPr="00A77A8B" w:rsidRDefault="00A77A8B" w:rsidP="00A77A8B">
            <w:pPr>
              <w:spacing w:line="276" w:lineRule="auto"/>
              <w:rPr>
                <w:rFonts w:ascii="Arial" w:eastAsia="Arial" w:hAnsi="Arial" w:cs="Arial"/>
                <w:sz w:val="24"/>
                <w:szCs w:val="24"/>
              </w:rPr>
            </w:pPr>
          </w:p>
        </w:tc>
        <w:tc>
          <w:tcPr>
            <w:tcW w:w="5661" w:type="dxa"/>
          </w:tcPr>
          <w:p w:rsidR="00A77A8B" w:rsidRPr="00A77A8B" w:rsidRDefault="00A77A8B" w:rsidP="00A77A8B">
            <w:pPr>
              <w:spacing w:line="276" w:lineRule="auto"/>
              <w:rPr>
                <w:rFonts w:ascii="Arial" w:eastAsia="Arial" w:hAnsi="Arial" w:cs="Arial"/>
                <w:b/>
                <w:sz w:val="24"/>
                <w:szCs w:val="24"/>
              </w:rPr>
            </w:pPr>
            <w:r w:rsidRPr="00A77A8B">
              <w:rPr>
                <w:rFonts w:ascii="Arial" w:eastAsia="Arial" w:hAnsi="Arial" w:cs="Arial"/>
                <w:sz w:val="24"/>
                <w:szCs w:val="24"/>
              </w:rPr>
              <w:t> </w:t>
            </w:r>
            <w:r w:rsidRPr="00A77A8B">
              <w:rPr>
                <w:rFonts w:ascii="Arial" w:eastAsia="Arial" w:hAnsi="Arial" w:cs="Arial"/>
                <w:b/>
                <w:sz w:val="24"/>
                <w:szCs w:val="24"/>
              </w:rPr>
              <w:t>Reason for giving other fluids before 6 months</w:t>
            </w:r>
          </w:p>
        </w:tc>
        <w:tc>
          <w:tcPr>
            <w:tcW w:w="1145" w:type="dxa"/>
          </w:tcPr>
          <w:p w:rsidR="00A77A8B" w:rsidRPr="00A77A8B" w:rsidRDefault="00A77A8B" w:rsidP="00A77A8B">
            <w:pPr>
              <w:spacing w:line="276" w:lineRule="auto"/>
              <w:rPr>
                <w:rFonts w:ascii="Arial" w:eastAsia="Arial" w:hAnsi="Arial" w:cs="Arial"/>
                <w:sz w:val="24"/>
                <w:szCs w:val="24"/>
              </w:rPr>
            </w:pPr>
          </w:p>
        </w:tc>
        <w:tc>
          <w:tcPr>
            <w:tcW w:w="2148" w:type="dxa"/>
          </w:tcPr>
          <w:p w:rsidR="00A77A8B" w:rsidRPr="00A77A8B" w:rsidRDefault="00A77A8B" w:rsidP="00A77A8B">
            <w:pPr>
              <w:spacing w:line="276" w:lineRule="auto"/>
              <w:rPr>
                <w:rFonts w:ascii="Arial" w:eastAsia="Arial" w:hAnsi="Arial" w:cs="Arial"/>
                <w:sz w:val="24"/>
                <w:szCs w:val="24"/>
              </w:rPr>
            </w:pPr>
          </w:p>
        </w:tc>
      </w:tr>
      <w:tr w:rsidR="00A77A8B" w:rsidRPr="00A77A8B" w:rsidTr="00A17BC2">
        <w:trPr>
          <w:trHeight w:val="265"/>
        </w:trPr>
        <w:tc>
          <w:tcPr>
            <w:tcW w:w="52" w:type="dxa"/>
            <w:vAlign w:val="bottom"/>
          </w:tcPr>
          <w:p w:rsidR="00A77A8B" w:rsidRPr="00A77A8B" w:rsidRDefault="00A77A8B" w:rsidP="00A77A8B">
            <w:pPr>
              <w:spacing w:line="276" w:lineRule="auto"/>
              <w:rPr>
                <w:rFonts w:ascii="Arial" w:eastAsia="Arial" w:hAnsi="Arial" w:cs="Arial"/>
                <w:sz w:val="24"/>
                <w:szCs w:val="24"/>
              </w:rPr>
            </w:pPr>
          </w:p>
        </w:tc>
        <w:tc>
          <w:tcPr>
            <w:tcW w:w="5661" w:type="dxa"/>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The baby was crying</w:t>
            </w:r>
          </w:p>
        </w:tc>
        <w:tc>
          <w:tcPr>
            <w:tcW w:w="1145" w:type="dxa"/>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7</w:t>
            </w:r>
          </w:p>
        </w:tc>
        <w:tc>
          <w:tcPr>
            <w:tcW w:w="2148" w:type="dxa"/>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2.8</w:t>
            </w:r>
          </w:p>
        </w:tc>
      </w:tr>
      <w:tr w:rsidR="00A77A8B" w:rsidRPr="00A77A8B" w:rsidTr="00A17BC2">
        <w:trPr>
          <w:trHeight w:val="265"/>
        </w:trPr>
        <w:tc>
          <w:tcPr>
            <w:tcW w:w="52" w:type="dxa"/>
            <w:vAlign w:val="bottom"/>
          </w:tcPr>
          <w:p w:rsidR="00A77A8B" w:rsidRPr="00A77A8B" w:rsidRDefault="00A77A8B" w:rsidP="00A77A8B">
            <w:pPr>
              <w:spacing w:line="276" w:lineRule="auto"/>
              <w:rPr>
                <w:rFonts w:ascii="Arial" w:eastAsia="Arial" w:hAnsi="Arial" w:cs="Arial"/>
                <w:sz w:val="24"/>
                <w:szCs w:val="24"/>
              </w:rPr>
            </w:pPr>
          </w:p>
        </w:tc>
        <w:tc>
          <w:tcPr>
            <w:tcW w:w="5661" w:type="dxa"/>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I had no milk</w:t>
            </w:r>
          </w:p>
        </w:tc>
        <w:tc>
          <w:tcPr>
            <w:tcW w:w="1145" w:type="dxa"/>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24</w:t>
            </w:r>
          </w:p>
        </w:tc>
        <w:tc>
          <w:tcPr>
            <w:tcW w:w="2148" w:type="dxa"/>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9.8</w:t>
            </w:r>
          </w:p>
        </w:tc>
      </w:tr>
      <w:tr w:rsidR="00A77A8B" w:rsidRPr="00A77A8B" w:rsidTr="00A17BC2">
        <w:trPr>
          <w:trHeight w:val="265"/>
        </w:trPr>
        <w:tc>
          <w:tcPr>
            <w:tcW w:w="52" w:type="dxa"/>
            <w:vAlign w:val="bottom"/>
          </w:tcPr>
          <w:p w:rsidR="00A77A8B" w:rsidRPr="00A77A8B" w:rsidRDefault="00A77A8B" w:rsidP="00A77A8B">
            <w:pPr>
              <w:spacing w:line="276" w:lineRule="auto"/>
              <w:rPr>
                <w:rFonts w:ascii="Arial" w:eastAsia="Arial" w:hAnsi="Arial" w:cs="Arial"/>
                <w:sz w:val="24"/>
                <w:szCs w:val="24"/>
              </w:rPr>
            </w:pPr>
          </w:p>
        </w:tc>
        <w:tc>
          <w:tcPr>
            <w:tcW w:w="5661" w:type="dxa"/>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I was advised by the health worker</w:t>
            </w:r>
          </w:p>
        </w:tc>
        <w:tc>
          <w:tcPr>
            <w:tcW w:w="1145" w:type="dxa"/>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5</w:t>
            </w:r>
          </w:p>
        </w:tc>
        <w:tc>
          <w:tcPr>
            <w:tcW w:w="2148" w:type="dxa"/>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2.0</w:t>
            </w:r>
          </w:p>
        </w:tc>
      </w:tr>
      <w:tr w:rsidR="00A77A8B" w:rsidRPr="00A77A8B" w:rsidTr="00A17BC2">
        <w:trPr>
          <w:trHeight w:val="265"/>
        </w:trPr>
        <w:tc>
          <w:tcPr>
            <w:tcW w:w="52" w:type="dxa"/>
            <w:vAlign w:val="bottom"/>
          </w:tcPr>
          <w:p w:rsidR="00A77A8B" w:rsidRPr="00A77A8B" w:rsidRDefault="00A77A8B" w:rsidP="00A77A8B">
            <w:pPr>
              <w:spacing w:line="276" w:lineRule="auto"/>
              <w:rPr>
                <w:rFonts w:ascii="Arial" w:eastAsia="Arial" w:hAnsi="Arial" w:cs="Arial"/>
                <w:sz w:val="24"/>
                <w:szCs w:val="24"/>
              </w:rPr>
            </w:pPr>
          </w:p>
        </w:tc>
        <w:tc>
          <w:tcPr>
            <w:tcW w:w="5661" w:type="dxa"/>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Cultural/religious reasons</w:t>
            </w:r>
          </w:p>
        </w:tc>
        <w:tc>
          <w:tcPr>
            <w:tcW w:w="1145" w:type="dxa"/>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8</w:t>
            </w:r>
          </w:p>
        </w:tc>
        <w:tc>
          <w:tcPr>
            <w:tcW w:w="2148" w:type="dxa"/>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3.2</w:t>
            </w:r>
          </w:p>
        </w:tc>
      </w:tr>
      <w:tr w:rsidR="00A77A8B" w:rsidRPr="00A77A8B" w:rsidTr="00A17BC2">
        <w:trPr>
          <w:trHeight w:val="265"/>
        </w:trPr>
        <w:tc>
          <w:tcPr>
            <w:tcW w:w="52" w:type="dxa"/>
            <w:vAlign w:val="bottom"/>
          </w:tcPr>
          <w:p w:rsidR="00A77A8B" w:rsidRPr="00A77A8B" w:rsidRDefault="00A77A8B" w:rsidP="00A77A8B">
            <w:pPr>
              <w:spacing w:line="276" w:lineRule="auto"/>
              <w:rPr>
                <w:rFonts w:ascii="Arial" w:eastAsia="Arial" w:hAnsi="Arial" w:cs="Arial"/>
                <w:sz w:val="24"/>
                <w:szCs w:val="24"/>
              </w:rPr>
            </w:pPr>
          </w:p>
        </w:tc>
        <w:tc>
          <w:tcPr>
            <w:tcW w:w="5661" w:type="dxa"/>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Reason not given</w:t>
            </w:r>
          </w:p>
        </w:tc>
        <w:tc>
          <w:tcPr>
            <w:tcW w:w="1145" w:type="dxa"/>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202</w:t>
            </w:r>
          </w:p>
        </w:tc>
        <w:tc>
          <w:tcPr>
            <w:tcW w:w="2148" w:type="dxa"/>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82.2</w:t>
            </w:r>
          </w:p>
        </w:tc>
      </w:tr>
      <w:tr w:rsidR="00A77A8B" w:rsidRPr="00A77A8B" w:rsidTr="00A17BC2">
        <w:trPr>
          <w:trHeight w:val="112"/>
        </w:trPr>
        <w:tc>
          <w:tcPr>
            <w:tcW w:w="52" w:type="dxa"/>
            <w:vAlign w:val="bottom"/>
          </w:tcPr>
          <w:p w:rsidR="00A77A8B" w:rsidRPr="00A77A8B" w:rsidRDefault="00A77A8B" w:rsidP="00A77A8B">
            <w:pPr>
              <w:spacing w:line="276" w:lineRule="auto"/>
              <w:rPr>
                <w:rFonts w:ascii="Arial" w:eastAsia="Arial" w:hAnsi="Arial" w:cs="Arial"/>
                <w:sz w:val="24"/>
                <w:szCs w:val="24"/>
              </w:rPr>
            </w:pPr>
          </w:p>
        </w:tc>
        <w:tc>
          <w:tcPr>
            <w:tcW w:w="5661" w:type="dxa"/>
            <w:vAlign w:val="center"/>
          </w:tcPr>
          <w:p w:rsidR="00A77A8B" w:rsidRPr="00A77A8B" w:rsidRDefault="00A77A8B" w:rsidP="00A77A8B">
            <w:pPr>
              <w:spacing w:line="276" w:lineRule="auto"/>
              <w:rPr>
                <w:rFonts w:ascii="Arial" w:eastAsia="Arial" w:hAnsi="Arial" w:cs="Arial"/>
                <w:b/>
                <w:sz w:val="24"/>
                <w:szCs w:val="24"/>
              </w:rPr>
            </w:pPr>
            <w:r w:rsidRPr="00A77A8B">
              <w:rPr>
                <w:rFonts w:ascii="Arial" w:eastAsia="Arial" w:hAnsi="Arial" w:cs="Arial"/>
                <w:b/>
                <w:sz w:val="24"/>
                <w:szCs w:val="24"/>
              </w:rPr>
              <w:t>Exclusive breastfeeding under six months</w:t>
            </w:r>
          </w:p>
        </w:tc>
        <w:tc>
          <w:tcPr>
            <w:tcW w:w="1145" w:type="dxa"/>
            <w:vAlign w:val="center"/>
          </w:tcPr>
          <w:p w:rsidR="00A77A8B" w:rsidRPr="00A77A8B" w:rsidRDefault="00A77A8B" w:rsidP="00A77A8B">
            <w:pPr>
              <w:spacing w:line="276" w:lineRule="auto"/>
              <w:rPr>
                <w:rFonts w:ascii="Arial" w:eastAsia="Arial" w:hAnsi="Arial" w:cs="Arial"/>
                <w:sz w:val="24"/>
                <w:szCs w:val="24"/>
              </w:rPr>
            </w:pPr>
          </w:p>
        </w:tc>
        <w:tc>
          <w:tcPr>
            <w:tcW w:w="2148" w:type="dxa"/>
            <w:vAlign w:val="center"/>
          </w:tcPr>
          <w:p w:rsidR="00A77A8B" w:rsidRPr="00A77A8B" w:rsidRDefault="00A77A8B" w:rsidP="00A77A8B">
            <w:pPr>
              <w:spacing w:line="276" w:lineRule="auto"/>
              <w:rPr>
                <w:rFonts w:ascii="Arial" w:eastAsia="Arial" w:hAnsi="Arial" w:cs="Arial"/>
                <w:sz w:val="24"/>
                <w:szCs w:val="24"/>
              </w:rPr>
            </w:pPr>
          </w:p>
        </w:tc>
      </w:tr>
      <w:tr w:rsidR="00A77A8B" w:rsidRPr="00A77A8B" w:rsidTr="00A17BC2">
        <w:trPr>
          <w:trHeight w:val="139"/>
        </w:trPr>
        <w:tc>
          <w:tcPr>
            <w:tcW w:w="52" w:type="dxa"/>
            <w:vAlign w:val="bottom"/>
          </w:tcPr>
          <w:p w:rsidR="00A77A8B" w:rsidRPr="00A77A8B" w:rsidRDefault="00A77A8B" w:rsidP="00A77A8B">
            <w:pPr>
              <w:spacing w:line="276" w:lineRule="auto"/>
              <w:rPr>
                <w:rFonts w:ascii="Arial" w:eastAsia="Arial" w:hAnsi="Arial" w:cs="Arial"/>
                <w:sz w:val="24"/>
                <w:szCs w:val="24"/>
              </w:rPr>
            </w:pPr>
          </w:p>
        </w:tc>
        <w:tc>
          <w:tcPr>
            <w:tcW w:w="5661" w:type="dxa"/>
            <w:vAlign w:val="center"/>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Yes</w:t>
            </w:r>
          </w:p>
        </w:tc>
        <w:tc>
          <w:tcPr>
            <w:tcW w:w="1145" w:type="dxa"/>
            <w:vAlign w:val="center"/>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123</w:t>
            </w:r>
          </w:p>
        </w:tc>
        <w:tc>
          <w:tcPr>
            <w:tcW w:w="2148" w:type="dxa"/>
            <w:vAlign w:val="center"/>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50.0</w:t>
            </w:r>
          </w:p>
        </w:tc>
      </w:tr>
      <w:tr w:rsidR="00A77A8B" w:rsidRPr="00A77A8B" w:rsidTr="00A17BC2">
        <w:trPr>
          <w:trHeight w:val="80"/>
        </w:trPr>
        <w:tc>
          <w:tcPr>
            <w:tcW w:w="52" w:type="dxa"/>
            <w:vAlign w:val="bottom"/>
          </w:tcPr>
          <w:p w:rsidR="00A77A8B" w:rsidRPr="00A77A8B" w:rsidRDefault="00A77A8B" w:rsidP="00A77A8B">
            <w:pPr>
              <w:spacing w:line="276" w:lineRule="auto"/>
              <w:rPr>
                <w:rFonts w:ascii="Arial" w:eastAsia="Arial" w:hAnsi="Arial" w:cs="Arial"/>
                <w:sz w:val="24"/>
                <w:szCs w:val="24"/>
              </w:rPr>
            </w:pPr>
          </w:p>
        </w:tc>
        <w:tc>
          <w:tcPr>
            <w:tcW w:w="5661" w:type="dxa"/>
            <w:tcBorders>
              <w:bottom w:val="single" w:sz="4" w:space="0" w:color="C0504D" w:themeColor="accent2"/>
            </w:tcBorders>
            <w:vAlign w:val="center"/>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No</w:t>
            </w:r>
          </w:p>
        </w:tc>
        <w:tc>
          <w:tcPr>
            <w:tcW w:w="1145" w:type="dxa"/>
            <w:tcBorders>
              <w:bottom w:val="single" w:sz="4" w:space="0" w:color="C0504D" w:themeColor="accent2"/>
            </w:tcBorders>
            <w:vAlign w:val="center"/>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123</w:t>
            </w:r>
          </w:p>
        </w:tc>
        <w:tc>
          <w:tcPr>
            <w:tcW w:w="2148" w:type="dxa"/>
            <w:tcBorders>
              <w:bottom w:val="single" w:sz="4" w:space="0" w:color="C0504D" w:themeColor="accent2"/>
            </w:tcBorders>
            <w:vAlign w:val="center"/>
          </w:tcPr>
          <w:p w:rsidR="00A77A8B" w:rsidRPr="00A77A8B" w:rsidRDefault="00A77A8B" w:rsidP="00A77A8B">
            <w:pPr>
              <w:spacing w:line="276" w:lineRule="auto"/>
              <w:rPr>
                <w:rFonts w:ascii="Arial" w:eastAsia="Arial" w:hAnsi="Arial" w:cs="Arial"/>
                <w:sz w:val="24"/>
                <w:szCs w:val="24"/>
              </w:rPr>
            </w:pPr>
            <w:r w:rsidRPr="00A77A8B">
              <w:rPr>
                <w:rFonts w:ascii="Arial" w:eastAsia="Arial" w:hAnsi="Arial" w:cs="Arial"/>
                <w:sz w:val="24"/>
                <w:szCs w:val="24"/>
              </w:rPr>
              <w:t>50.0</w:t>
            </w:r>
          </w:p>
        </w:tc>
      </w:tr>
    </w:tbl>
    <w:p w:rsidR="00A77A8B" w:rsidRPr="00246985" w:rsidRDefault="00A77A8B" w:rsidP="00284D30">
      <w:pPr>
        <w:spacing w:line="276" w:lineRule="auto"/>
        <w:rPr>
          <w:rFonts w:ascii="Arial" w:eastAsia="Arial" w:hAnsi="Arial" w:cs="Arial"/>
          <w:sz w:val="24"/>
          <w:szCs w:val="24"/>
        </w:rPr>
      </w:pPr>
    </w:p>
    <w:p w:rsidR="00246985" w:rsidRDefault="00246985" w:rsidP="00284D30">
      <w:pPr>
        <w:spacing w:line="276" w:lineRule="auto"/>
        <w:rPr>
          <w:rFonts w:ascii="Arial" w:eastAsia="Arial" w:hAnsi="Arial" w:cs="Arial"/>
          <w:sz w:val="24"/>
          <w:szCs w:val="24"/>
        </w:rPr>
      </w:pPr>
    </w:p>
    <w:p w:rsidR="00A77A8B" w:rsidRDefault="00A77A8B" w:rsidP="00284D30">
      <w:pPr>
        <w:spacing w:line="276" w:lineRule="auto"/>
        <w:rPr>
          <w:rFonts w:ascii="Arial" w:eastAsia="Arial" w:hAnsi="Arial" w:cs="Arial"/>
          <w:sz w:val="24"/>
          <w:szCs w:val="24"/>
        </w:rPr>
      </w:pPr>
    </w:p>
    <w:p w:rsidR="00A77A8B" w:rsidRDefault="00A77A8B" w:rsidP="00284D30">
      <w:pPr>
        <w:spacing w:line="276" w:lineRule="auto"/>
        <w:rPr>
          <w:rFonts w:ascii="Arial" w:eastAsia="Arial" w:hAnsi="Arial" w:cs="Arial"/>
          <w:sz w:val="24"/>
          <w:szCs w:val="24"/>
        </w:rPr>
      </w:pPr>
    </w:p>
    <w:p w:rsidR="00A77A8B" w:rsidRDefault="00A77A8B" w:rsidP="00284D30">
      <w:pPr>
        <w:spacing w:line="276" w:lineRule="auto"/>
        <w:rPr>
          <w:rFonts w:ascii="Arial" w:eastAsia="Arial" w:hAnsi="Arial" w:cs="Arial"/>
          <w:sz w:val="24"/>
          <w:szCs w:val="24"/>
        </w:rPr>
      </w:pPr>
    </w:p>
    <w:p w:rsidR="00A77A8B" w:rsidRPr="00246985" w:rsidRDefault="00A77A8B" w:rsidP="00284D30">
      <w:pPr>
        <w:spacing w:line="276" w:lineRule="auto"/>
        <w:rPr>
          <w:rFonts w:ascii="Arial" w:eastAsia="Arial" w:hAnsi="Arial" w:cs="Arial"/>
          <w:sz w:val="24"/>
          <w:szCs w:val="24"/>
        </w:rPr>
      </w:pPr>
    </w:p>
    <w:p w:rsidR="00C322FF" w:rsidRDefault="00C322FF">
      <w:pPr>
        <w:spacing w:line="206" w:lineRule="exact"/>
        <w:rPr>
          <w:sz w:val="20"/>
          <w:szCs w:val="20"/>
        </w:rPr>
      </w:pPr>
    </w:p>
    <w:p w:rsidR="00C322FF" w:rsidRDefault="00B77746">
      <w:pPr>
        <w:ind w:left="500"/>
        <w:rPr>
          <w:sz w:val="20"/>
          <w:szCs w:val="20"/>
        </w:rPr>
      </w:pPr>
      <w:r>
        <w:rPr>
          <w:rFonts w:ascii="Arial" w:eastAsia="Arial" w:hAnsi="Arial" w:cs="Arial"/>
          <w:i/>
          <w:iCs/>
          <w:sz w:val="24"/>
          <w:szCs w:val="24"/>
        </w:rPr>
        <w:t xml:space="preserve">6.3 </w:t>
      </w:r>
      <w:r w:rsidR="00F96342">
        <w:rPr>
          <w:rFonts w:ascii="Arial" w:eastAsia="Arial" w:hAnsi="Arial" w:cs="Arial"/>
          <w:i/>
          <w:iCs/>
          <w:sz w:val="24"/>
          <w:szCs w:val="24"/>
        </w:rPr>
        <w:t>Prevalence of malnutrition among the infants</w:t>
      </w:r>
    </w:p>
    <w:p w:rsidR="00C322FF" w:rsidRDefault="00C322FF">
      <w:pPr>
        <w:spacing w:line="240" w:lineRule="exact"/>
        <w:rPr>
          <w:sz w:val="20"/>
          <w:szCs w:val="20"/>
        </w:rPr>
      </w:pPr>
    </w:p>
    <w:p w:rsidR="00246985" w:rsidRDefault="00246985" w:rsidP="00246985">
      <w:pPr>
        <w:spacing w:line="242" w:lineRule="auto"/>
        <w:ind w:left="140" w:right="20"/>
        <w:jc w:val="both"/>
        <w:rPr>
          <w:rFonts w:ascii="Arial" w:eastAsia="Arial" w:hAnsi="Arial" w:cs="Arial"/>
          <w:sz w:val="24"/>
          <w:szCs w:val="24"/>
        </w:rPr>
      </w:pPr>
      <w:r w:rsidRPr="00246985">
        <w:rPr>
          <w:rFonts w:ascii="Arial" w:eastAsia="Arial" w:hAnsi="Arial" w:cs="Arial"/>
          <w:sz w:val="24"/>
          <w:szCs w:val="24"/>
        </w:rPr>
        <w:t>The prevalence of malnutrition among infants was measured using the indicators of weight-for-height, height-for-age and weight-for-age. The infants who fall below -2SD were considered undernourished and those with less than -3 SD severely wasted. The prevalence of wasting, stunting and underweight were 17.1%, 22.0% and 22.0% respectively. From the findings, no bilaterally pitting oedema cases were found among the assessed infants. In all three forms of malnutrition (stunting, wasting and underweight), boys had a higher prevalence than girls.</w:t>
      </w:r>
    </w:p>
    <w:p w:rsidR="00246985" w:rsidRPr="00246985" w:rsidRDefault="00246985" w:rsidP="00246985">
      <w:pPr>
        <w:spacing w:line="242" w:lineRule="auto"/>
        <w:ind w:left="140" w:right="20"/>
        <w:jc w:val="both"/>
        <w:rPr>
          <w:rFonts w:ascii="Arial" w:eastAsia="Arial" w:hAnsi="Arial" w:cs="Arial"/>
          <w:sz w:val="24"/>
          <w:szCs w:val="24"/>
        </w:rPr>
      </w:pPr>
    </w:p>
    <w:p w:rsidR="00F96342" w:rsidRDefault="00246985">
      <w:pPr>
        <w:spacing w:line="242" w:lineRule="auto"/>
        <w:ind w:left="140" w:right="20"/>
        <w:jc w:val="both"/>
        <w:rPr>
          <w:sz w:val="20"/>
          <w:szCs w:val="20"/>
        </w:rPr>
      </w:pPr>
      <w:r w:rsidRPr="00246985">
        <w:rPr>
          <w:sz w:val="20"/>
          <w:szCs w:val="20"/>
        </w:rPr>
        <w:t>Acute malnutrition was presented as severe, moderate and total wasted. More boys (17.9%) had low weight for their length (wasting) than girls (9.3%) while wasting was highest in the age group of 6-8 months</w:t>
      </w:r>
    </w:p>
    <w:p w:rsidR="00246985" w:rsidRDefault="00246985">
      <w:pPr>
        <w:spacing w:line="242" w:lineRule="auto"/>
        <w:ind w:left="140" w:right="20"/>
        <w:jc w:val="both"/>
        <w:rPr>
          <w:sz w:val="20"/>
          <w:szCs w:val="20"/>
        </w:rPr>
      </w:pPr>
      <w:r w:rsidRPr="00246985">
        <w:rPr>
          <w:sz w:val="20"/>
          <w:szCs w:val="20"/>
        </w:rPr>
        <w:t>More boys (15.1%) were short for their age than girls (9.3%) while stunting was highest in the age group 1-6 months (17.5%)</w:t>
      </w:r>
    </w:p>
    <w:p w:rsidR="00246985" w:rsidRDefault="00246985">
      <w:pPr>
        <w:spacing w:line="242" w:lineRule="auto"/>
        <w:ind w:left="140" w:right="20"/>
        <w:jc w:val="both"/>
        <w:rPr>
          <w:sz w:val="20"/>
          <w:szCs w:val="20"/>
        </w:rPr>
      </w:pPr>
      <w:r w:rsidRPr="00246985">
        <w:rPr>
          <w:sz w:val="20"/>
          <w:szCs w:val="20"/>
        </w:rPr>
        <w:t>About 22.0% of all the children in the study had a low weight for their age with only 17.9% originating from boys. In addition, the age group 9-12 months had the majority of severely undernourished children (7.5%) of the featured groups</w:t>
      </w:r>
    </w:p>
    <w:p w:rsidR="00A77A8B" w:rsidRDefault="00A77A8B">
      <w:pPr>
        <w:spacing w:line="242" w:lineRule="auto"/>
        <w:ind w:left="140" w:right="20"/>
        <w:jc w:val="both"/>
        <w:rPr>
          <w:sz w:val="20"/>
          <w:szCs w:val="20"/>
        </w:rPr>
      </w:pPr>
    </w:p>
    <w:tbl>
      <w:tblPr>
        <w:tblW w:w="5000" w:type="pct"/>
        <w:tblBorders>
          <w:top w:val="single" w:sz="4" w:space="0" w:color="auto"/>
          <w:bottom w:val="single" w:sz="4" w:space="0" w:color="auto"/>
        </w:tblBorders>
        <w:tblLook w:val="04A0"/>
      </w:tblPr>
      <w:tblGrid>
        <w:gridCol w:w="2706"/>
        <w:gridCol w:w="966"/>
        <w:gridCol w:w="1891"/>
        <w:gridCol w:w="1836"/>
        <w:gridCol w:w="1837"/>
      </w:tblGrid>
      <w:tr w:rsidR="00A77A8B" w:rsidRPr="00A77A8B" w:rsidTr="00A17BC2">
        <w:trPr>
          <w:trHeight w:val="300"/>
        </w:trPr>
        <w:tc>
          <w:tcPr>
            <w:tcW w:w="2000" w:type="pct"/>
            <w:gridSpan w:val="2"/>
            <w:vMerge w:val="restart"/>
            <w:shd w:val="clear" w:color="auto" w:fill="auto"/>
            <w:vAlign w:val="bottom"/>
            <w:hideMark/>
          </w:tcPr>
          <w:p w:rsidR="00A77A8B" w:rsidRPr="00A77A8B" w:rsidRDefault="00A77A8B" w:rsidP="00A17BC2">
            <w:pPr>
              <w:spacing w:line="360" w:lineRule="auto"/>
              <w:jc w:val="both"/>
              <w:rPr>
                <w:rFonts w:ascii="Arial" w:eastAsia="Times New Roman" w:hAnsi="Arial" w:cs="Arial"/>
                <w:b/>
                <w:color w:val="000000"/>
                <w:sz w:val="24"/>
                <w:szCs w:val="24"/>
              </w:rPr>
            </w:pPr>
            <w:r w:rsidRPr="00A77A8B">
              <w:rPr>
                <w:rFonts w:ascii="Arial" w:eastAsia="Times New Roman" w:hAnsi="Arial" w:cs="Arial"/>
                <w:color w:val="000000"/>
                <w:sz w:val="24"/>
                <w:szCs w:val="24"/>
              </w:rPr>
              <w:t> </w:t>
            </w:r>
            <w:r w:rsidRPr="00A77A8B">
              <w:rPr>
                <w:rFonts w:ascii="Arial" w:eastAsia="Times New Roman" w:hAnsi="Arial" w:cs="Arial"/>
                <w:b/>
                <w:color w:val="000000"/>
                <w:sz w:val="24"/>
                <w:szCs w:val="24"/>
              </w:rPr>
              <w:t>By gender</w:t>
            </w:r>
          </w:p>
        </w:tc>
        <w:tc>
          <w:tcPr>
            <w:tcW w:w="2000" w:type="pct"/>
            <w:gridSpan w:val="2"/>
            <w:shd w:val="clear" w:color="auto" w:fill="auto"/>
            <w:vAlign w:val="bottom"/>
            <w:hideMark/>
          </w:tcPr>
          <w:p w:rsidR="00A77A8B" w:rsidRPr="00A77A8B" w:rsidRDefault="00A77A8B" w:rsidP="00A17BC2">
            <w:pPr>
              <w:spacing w:line="360" w:lineRule="auto"/>
              <w:jc w:val="both"/>
              <w:rPr>
                <w:rFonts w:ascii="Arial" w:eastAsia="Times New Roman" w:hAnsi="Arial" w:cs="Arial"/>
                <w:b/>
                <w:color w:val="000000"/>
                <w:sz w:val="24"/>
                <w:szCs w:val="24"/>
              </w:rPr>
            </w:pPr>
            <w:r w:rsidRPr="00A77A8B">
              <w:rPr>
                <w:rFonts w:ascii="Arial" w:eastAsia="Times New Roman" w:hAnsi="Arial" w:cs="Arial"/>
                <w:b/>
                <w:color w:val="000000"/>
                <w:sz w:val="24"/>
                <w:szCs w:val="24"/>
              </w:rPr>
              <w:t>Gender of the infant</w:t>
            </w:r>
          </w:p>
        </w:tc>
        <w:tc>
          <w:tcPr>
            <w:tcW w:w="1000" w:type="pct"/>
            <w:vMerge w:val="restart"/>
            <w:shd w:val="clear" w:color="auto" w:fill="auto"/>
            <w:vAlign w:val="bottom"/>
            <w:hideMark/>
          </w:tcPr>
          <w:p w:rsidR="00A77A8B" w:rsidRPr="00A77A8B" w:rsidRDefault="00A77A8B" w:rsidP="00A17BC2">
            <w:pPr>
              <w:spacing w:line="360" w:lineRule="auto"/>
              <w:jc w:val="both"/>
              <w:rPr>
                <w:rFonts w:ascii="Arial" w:eastAsia="Times New Roman" w:hAnsi="Arial" w:cs="Arial"/>
                <w:b/>
                <w:color w:val="000000"/>
                <w:sz w:val="24"/>
                <w:szCs w:val="24"/>
              </w:rPr>
            </w:pPr>
            <w:r w:rsidRPr="00A77A8B">
              <w:rPr>
                <w:rFonts w:ascii="Arial" w:eastAsia="Times New Roman" w:hAnsi="Arial" w:cs="Arial"/>
                <w:b/>
                <w:color w:val="000000"/>
                <w:sz w:val="24"/>
                <w:szCs w:val="24"/>
              </w:rPr>
              <w:t>Total wasting</w:t>
            </w:r>
          </w:p>
        </w:tc>
      </w:tr>
      <w:tr w:rsidR="00A77A8B" w:rsidRPr="00A77A8B" w:rsidTr="00A17BC2">
        <w:trPr>
          <w:trHeight w:val="300"/>
        </w:trPr>
        <w:tc>
          <w:tcPr>
            <w:tcW w:w="2000" w:type="pct"/>
            <w:gridSpan w:val="2"/>
            <w:vMerge/>
            <w:tcBorders>
              <w:bottom w:val="single" w:sz="4" w:space="0" w:color="auto"/>
            </w:tcBorders>
            <w:vAlign w:val="center"/>
            <w:hideMark/>
          </w:tcPr>
          <w:p w:rsidR="00A77A8B" w:rsidRPr="00A77A8B" w:rsidRDefault="00A77A8B" w:rsidP="00A17BC2">
            <w:pPr>
              <w:spacing w:line="360" w:lineRule="auto"/>
              <w:jc w:val="both"/>
              <w:rPr>
                <w:rFonts w:ascii="Arial" w:eastAsia="Times New Roman" w:hAnsi="Arial" w:cs="Arial"/>
                <w:b/>
                <w:bCs/>
                <w:color w:val="000000"/>
                <w:sz w:val="24"/>
                <w:szCs w:val="24"/>
              </w:rPr>
            </w:pPr>
          </w:p>
        </w:tc>
        <w:tc>
          <w:tcPr>
            <w:tcW w:w="1000" w:type="pct"/>
            <w:tcBorders>
              <w:bottom w:val="single" w:sz="4" w:space="0" w:color="auto"/>
            </w:tcBorders>
            <w:shd w:val="clear" w:color="auto" w:fill="auto"/>
            <w:vAlign w:val="bottom"/>
            <w:hideMark/>
          </w:tcPr>
          <w:p w:rsidR="00A77A8B" w:rsidRPr="00A77A8B" w:rsidRDefault="00A77A8B" w:rsidP="00A17BC2">
            <w:pPr>
              <w:spacing w:line="360" w:lineRule="auto"/>
              <w:jc w:val="both"/>
              <w:rPr>
                <w:rFonts w:ascii="Arial" w:eastAsia="Times New Roman" w:hAnsi="Arial" w:cs="Arial"/>
                <w:b/>
                <w:color w:val="000000"/>
                <w:sz w:val="24"/>
                <w:szCs w:val="24"/>
              </w:rPr>
            </w:pPr>
            <w:r w:rsidRPr="00A77A8B">
              <w:rPr>
                <w:rFonts w:ascii="Arial" w:eastAsia="Times New Roman" w:hAnsi="Arial" w:cs="Arial"/>
                <w:b/>
                <w:color w:val="000000"/>
                <w:sz w:val="24"/>
                <w:szCs w:val="24"/>
              </w:rPr>
              <w:t>Female(n=140)</w:t>
            </w:r>
          </w:p>
        </w:tc>
        <w:tc>
          <w:tcPr>
            <w:tcW w:w="1000" w:type="pct"/>
            <w:tcBorders>
              <w:bottom w:val="single" w:sz="4" w:space="0" w:color="auto"/>
            </w:tcBorders>
            <w:shd w:val="clear" w:color="auto" w:fill="auto"/>
            <w:vAlign w:val="bottom"/>
            <w:hideMark/>
          </w:tcPr>
          <w:p w:rsidR="00A77A8B" w:rsidRPr="00A77A8B" w:rsidRDefault="00A77A8B" w:rsidP="00A17BC2">
            <w:pPr>
              <w:spacing w:line="360" w:lineRule="auto"/>
              <w:jc w:val="both"/>
              <w:rPr>
                <w:rFonts w:ascii="Arial" w:eastAsia="Times New Roman" w:hAnsi="Arial" w:cs="Arial"/>
                <w:b/>
                <w:color w:val="000000"/>
                <w:sz w:val="24"/>
                <w:szCs w:val="24"/>
              </w:rPr>
            </w:pPr>
            <w:r w:rsidRPr="00A77A8B">
              <w:rPr>
                <w:rFonts w:ascii="Arial" w:eastAsia="Times New Roman" w:hAnsi="Arial" w:cs="Arial"/>
                <w:b/>
                <w:color w:val="000000"/>
                <w:sz w:val="24"/>
                <w:szCs w:val="24"/>
              </w:rPr>
              <w:t>Male(n=106)</w:t>
            </w:r>
          </w:p>
        </w:tc>
        <w:tc>
          <w:tcPr>
            <w:tcW w:w="1000" w:type="pct"/>
            <w:vMerge/>
            <w:tcBorders>
              <w:bottom w:val="single" w:sz="4" w:space="0" w:color="auto"/>
            </w:tcBorders>
            <w:vAlign w:val="center"/>
            <w:hideMark/>
          </w:tcPr>
          <w:p w:rsidR="00A77A8B" w:rsidRPr="00A77A8B" w:rsidRDefault="00A77A8B" w:rsidP="00A17BC2">
            <w:pPr>
              <w:spacing w:line="360" w:lineRule="auto"/>
              <w:jc w:val="both"/>
              <w:rPr>
                <w:rFonts w:ascii="Arial" w:eastAsia="Times New Roman" w:hAnsi="Arial" w:cs="Arial"/>
                <w:b/>
                <w:bCs/>
                <w:color w:val="000000"/>
                <w:sz w:val="24"/>
                <w:szCs w:val="24"/>
              </w:rPr>
            </w:pPr>
          </w:p>
        </w:tc>
      </w:tr>
      <w:tr w:rsidR="00A77A8B" w:rsidRPr="00A77A8B" w:rsidTr="00A17BC2">
        <w:trPr>
          <w:trHeight w:val="300"/>
        </w:trPr>
        <w:tc>
          <w:tcPr>
            <w:tcW w:w="1471" w:type="pct"/>
            <w:vMerge w:val="restart"/>
            <w:tcBorders>
              <w:top w:val="single" w:sz="4" w:space="0" w:color="auto"/>
            </w:tcBorders>
            <w:shd w:val="clear" w:color="auto" w:fill="auto"/>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Normal≥ -2SD to&lt;+2SD</w:t>
            </w:r>
          </w:p>
        </w:tc>
        <w:tc>
          <w:tcPr>
            <w:tcW w:w="529" w:type="pct"/>
            <w:tcBorders>
              <w:top w:val="single" w:sz="4" w:space="0" w:color="auto"/>
            </w:tcBorders>
            <w:shd w:val="clear" w:color="auto" w:fill="auto"/>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F</w:t>
            </w:r>
          </w:p>
        </w:tc>
        <w:tc>
          <w:tcPr>
            <w:tcW w:w="1000" w:type="pct"/>
            <w:tcBorders>
              <w:top w:val="single" w:sz="4" w:space="0" w:color="auto"/>
            </w:tcBorders>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123</w:t>
            </w:r>
          </w:p>
        </w:tc>
        <w:tc>
          <w:tcPr>
            <w:tcW w:w="1000" w:type="pct"/>
            <w:tcBorders>
              <w:top w:val="single" w:sz="4" w:space="0" w:color="auto"/>
            </w:tcBorders>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81</w:t>
            </w:r>
          </w:p>
        </w:tc>
        <w:tc>
          <w:tcPr>
            <w:tcW w:w="1000" w:type="pct"/>
            <w:tcBorders>
              <w:top w:val="single" w:sz="4" w:space="0" w:color="auto"/>
            </w:tcBorders>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204</w:t>
            </w:r>
          </w:p>
        </w:tc>
      </w:tr>
      <w:tr w:rsidR="00A77A8B" w:rsidRPr="00A77A8B" w:rsidTr="00A17BC2">
        <w:trPr>
          <w:trHeight w:val="300"/>
        </w:trPr>
        <w:tc>
          <w:tcPr>
            <w:tcW w:w="1471" w:type="pct"/>
            <w:vMerge/>
            <w:vAlign w:val="center"/>
            <w:hideMark/>
          </w:tcPr>
          <w:p w:rsidR="00A77A8B" w:rsidRPr="00A77A8B" w:rsidRDefault="00A77A8B" w:rsidP="00A17BC2">
            <w:pPr>
              <w:spacing w:line="360" w:lineRule="auto"/>
              <w:jc w:val="both"/>
              <w:rPr>
                <w:rFonts w:ascii="Arial" w:eastAsia="Times New Roman" w:hAnsi="Arial" w:cs="Arial"/>
                <w:b/>
                <w:bCs/>
                <w:color w:val="000000"/>
                <w:sz w:val="24"/>
                <w:szCs w:val="24"/>
              </w:rPr>
            </w:pPr>
          </w:p>
        </w:tc>
        <w:tc>
          <w:tcPr>
            <w:tcW w:w="529" w:type="pct"/>
            <w:shd w:val="clear" w:color="auto" w:fill="auto"/>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 xml:space="preserve">% </w:t>
            </w:r>
          </w:p>
        </w:tc>
        <w:tc>
          <w:tcPr>
            <w:tcW w:w="1000"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87.9%</w:t>
            </w:r>
          </w:p>
        </w:tc>
        <w:tc>
          <w:tcPr>
            <w:tcW w:w="1000"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76.4%</w:t>
            </w:r>
          </w:p>
        </w:tc>
        <w:tc>
          <w:tcPr>
            <w:tcW w:w="1000"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82.9%</w:t>
            </w:r>
          </w:p>
        </w:tc>
      </w:tr>
      <w:tr w:rsidR="00A77A8B" w:rsidRPr="00A77A8B" w:rsidTr="00A17BC2">
        <w:trPr>
          <w:trHeight w:val="300"/>
        </w:trPr>
        <w:tc>
          <w:tcPr>
            <w:tcW w:w="1471" w:type="pct"/>
            <w:vMerge w:val="restart"/>
            <w:shd w:val="clear" w:color="auto" w:fill="auto"/>
            <w:hideMark/>
          </w:tcPr>
          <w:p w:rsidR="00A77A8B" w:rsidRPr="00A77A8B" w:rsidRDefault="00A77A8B" w:rsidP="00A17BC2">
            <w:pPr>
              <w:spacing w:line="360" w:lineRule="auto"/>
              <w:jc w:val="both"/>
              <w:rPr>
                <w:rFonts w:ascii="Arial" w:eastAsia="Times New Roman" w:hAnsi="Arial" w:cs="Arial"/>
                <w:b/>
                <w:color w:val="000000"/>
                <w:sz w:val="24"/>
                <w:szCs w:val="24"/>
              </w:rPr>
            </w:pPr>
            <w:r w:rsidRPr="00A77A8B">
              <w:rPr>
                <w:rFonts w:ascii="Arial" w:eastAsia="Times New Roman" w:hAnsi="Arial" w:cs="Arial"/>
                <w:b/>
                <w:color w:val="000000"/>
                <w:sz w:val="24"/>
                <w:szCs w:val="24"/>
              </w:rPr>
              <w:t>Moderately wasted≥-3SD to &lt;-2SD</w:t>
            </w:r>
          </w:p>
        </w:tc>
        <w:tc>
          <w:tcPr>
            <w:tcW w:w="529" w:type="pct"/>
            <w:shd w:val="clear" w:color="auto" w:fill="auto"/>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F</w:t>
            </w:r>
          </w:p>
        </w:tc>
        <w:tc>
          <w:tcPr>
            <w:tcW w:w="1000"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13</w:t>
            </w:r>
          </w:p>
        </w:tc>
        <w:tc>
          <w:tcPr>
            <w:tcW w:w="1000"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19</w:t>
            </w:r>
          </w:p>
        </w:tc>
        <w:tc>
          <w:tcPr>
            <w:tcW w:w="1000" w:type="pct"/>
            <w:shd w:val="clear" w:color="auto" w:fill="auto"/>
            <w:noWrap/>
            <w:hideMark/>
          </w:tcPr>
          <w:p w:rsidR="00A77A8B" w:rsidRPr="00A77A8B" w:rsidRDefault="00A77A8B" w:rsidP="00A17BC2">
            <w:pPr>
              <w:spacing w:line="360" w:lineRule="auto"/>
              <w:jc w:val="both"/>
              <w:rPr>
                <w:rFonts w:ascii="Arial" w:eastAsia="Times New Roman" w:hAnsi="Arial" w:cs="Arial"/>
                <w:b/>
                <w:color w:val="000000"/>
                <w:sz w:val="24"/>
                <w:szCs w:val="24"/>
              </w:rPr>
            </w:pPr>
            <w:r w:rsidRPr="00A77A8B">
              <w:rPr>
                <w:rFonts w:ascii="Arial" w:eastAsia="Times New Roman" w:hAnsi="Arial" w:cs="Arial"/>
                <w:b/>
                <w:color w:val="000000"/>
                <w:sz w:val="24"/>
                <w:szCs w:val="24"/>
              </w:rPr>
              <w:t>32</w:t>
            </w:r>
          </w:p>
        </w:tc>
      </w:tr>
      <w:tr w:rsidR="00A77A8B" w:rsidRPr="00A77A8B" w:rsidTr="00A17BC2">
        <w:trPr>
          <w:trHeight w:val="300"/>
        </w:trPr>
        <w:tc>
          <w:tcPr>
            <w:tcW w:w="1471" w:type="pct"/>
            <w:vMerge/>
            <w:vAlign w:val="center"/>
            <w:hideMark/>
          </w:tcPr>
          <w:p w:rsidR="00A77A8B" w:rsidRPr="00A77A8B" w:rsidRDefault="00A77A8B" w:rsidP="00A17BC2">
            <w:pPr>
              <w:spacing w:line="360" w:lineRule="auto"/>
              <w:jc w:val="both"/>
              <w:rPr>
                <w:rFonts w:ascii="Arial" w:eastAsia="Times New Roman" w:hAnsi="Arial" w:cs="Arial"/>
                <w:b/>
                <w:bCs/>
                <w:color w:val="000000"/>
                <w:sz w:val="24"/>
                <w:szCs w:val="24"/>
              </w:rPr>
            </w:pPr>
          </w:p>
        </w:tc>
        <w:tc>
          <w:tcPr>
            <w:tcW w:w="529" w:type="pct"/>
            <w:shd w:val="clear" w:color="auto" w:fill="auto"/>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 xml:space="preserve">% </w:t>
            </w:r>
          </w:p>
        </w:tc>
        <w:tc>
          <w:tcPr>
            <w:tcW w:w="1000"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9.3%</w:t>
            </w:r>
          </w:p>
        </w:tc>
        <w:tc>
          <w:tcPr>
            <w:tcW w:w="1000"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17.9%</w:t>
            </w:r>
          </w:p>
        </w:tc>
        <w:tc>
          <w:tcPr>
            <w:tcW w:w="1000" w:type="pct"/>
            <w:shd w:val="clear" w:color="auto" w:fill="auto"/>
            <w:noWrap/>
            <w:hideMark/>
          </w:tcPr>
          <w:p w:rsidR="00A77A8B" w:rsidRPr="00A77A8B" w:rsidRDefault="00A77A8B" w:rsidP="00A17BC2">
            <w:pPr>
              <w:spacing w:line="360" w:lineRule="auto"/>
              <w:jc w:val="both"/>
              <w:rPr>
                <w:rFonts w:ascii="Arial" w:eastAsia="Times New Roman" w:hAnsi="Arial" w:cs="Arial"/>
                <w:b/>
                <w:color w:val="000000"/>
                <w:sz w:val="24"/>
                <w:szCs w:val="24"/>
              </w:rPr>
            </w:pPr>
            <w:r w:rsidRPr="00A77A8B">
              <w:rPr>
                <w:rFonts w:ascii="Arial" w:eastAsia="Times New Roman" w:hAnsi="Arial" w:cs="Arial"/>
                <w:b/>
                <w:color w:val="000000"/>
                <w:sz w:val="24"/>
                <w:szCs w:val="24"/>
              </w:rPr>
              <w:t>13.0%</w:t>
            </w:r>
          </w:p>
        </w:tc>
      </w:tr>
      <w:tr w:rsidR="00A77A8B" w:rsidRPr="00A77A8B" w:rsidTr="00A17BC2">
        <w:trPr>
          <w:trHeight w:val="300"/>
        </w:trPr>
        <w:tc>
          <w:tcPr>
            <w:tcW w:w="1471" w:type="pct"/>
            <w:vMerge w:val="restart"/>
            <w:shd w:val="clear" w:color="auto" w:fill="auto"/>
            <w:hideMark/>
          </w:tcPr>
          <w:p w:rsidR="00A77A8B" w:rsidRPr="00A77A8B" w:rsidRDefault="00A77A8B" w:rsidP="00A17BC2">
            <w:pPr>
              <w:spacing w:line="360" w:lineRule="auto"/>
              <w:jc w:val="both"/>
              <w:rPr>
                <w:rFonts w:ascii="Arial" w:eastAsia="Times New Roman" w:hAnsi="Arial" w:cs="Arial"/>
                <w:b/>
                <w:color w:val="000000"/>
                <w:sz w:val="24"/>
                <w:szCs w:val="24"/>
              </w:rPr>
            </w:pPr>
            <w:r w:rsidRPr="00A77A8B">
              <w:rPr>
                <w:rFonts w:ascii="Arial" w:eastAsia="Times New Roman" w:hAnsi="Arial" w:cs="Arial"/>
                <w:b/>
                <w:color w:val="000000"/>
                <w:sz w:val="24"/>
                <w:szCs w:val="24"/>
              </w:rPr>
              <w:t>Severely wasting&lt; -3SD</w:t>
            </w:r>
          </w:p>
        </w:tc>
        <w:tc>
          <w:tcPr>
            <w:tcW w:w="529" w:type="pct"/>
            <w:shd w:val="clear" w:color="auto" w:fill="auto"/>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F</w:t>
            </w:r>
          </w:p>
        </w:tc>
        <w:tc>
          <w:tcPr>
            <w:tcW w:w="1000"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4</w:t>
            </w:r>
          </w:p>
        </w:tc>
        <w:tc>
          <w:tcPr>
            <w:tcW w:w="1000"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6</w:t>
            </w:r>
          </w:p>
        </w:tc>
        <w:tc>
          <w:tcPr>
            <w:tcW w:w="1000" w:type="pct"/>
            <w:shd w:val="clear" w:color="auto" w:fill="auto"/>
            <w:noWrap/>
            <w:hideMark/>
          </w:tcPr>
          <w:p w:rsidR="00A77A8B" w:rsidRPr="00A77A8B" w:rsidRDefault="00A77A8B" w:rsidP="00A17BC2">
            <w:pPr>
              <w:spacing w:line="360" w:lineRule="auto"/>
              <w:jc w:val="both"/>
              <w:rPr>
                <w:rFonts w:ascii="Arial" w:eastAsia="Times New Roman" w:hAnsi="Arial" w:cs="Arial"/>
                <w:b/>
                <w:color w:val="000000"/>
                <w:sz w:val="24"/>
                <w:szCs w:val="24"/>
              </w:rPr>
            </w:pPr>
            <w:r w:rsidRPr="00A77A8B">
              <w:rPr>
                <w:rFonts w:ascii="Arial" w:eastAsia="Times New Roman" w:hAnsi="Arial" w:cs="Arial"/>
                <w:b/>
                <w:color w:val="000000"/>
                <w:sz w:val="24"/>
                <w:szCs w:val="24"/>
              </w:rPr>
              <w:t>10</w:t>
            </w:r>
          </w:p>
        </w:tc>
      </w:tr>
      <w:tr w:rsidR="00A77A8B" w:rsidRPr="00A77A8B" w:rsidTr="00A17BC2">
        <w:trPr>
          <w:trHeight w:val="300"/>
        </w:trPr>
        <w:tc>
          <w:tcPr>
            <w:tcW w:w="1471" w:type="pct"/>
            <w:vMerge/>
            <w:vAlign w:val="center"/>
            <w:hideMark/>
          </w:tcPr>
          <w:p w:rsidR="00A77A8B" w:rsidRPr="00A77A8B" w:rsidRDefault="00A77A8B" w:rsidP="00A17BC2">
            <w:pPr>
              <w:spacing w:line="360" w:lineRule="auto"/>
              <w:jc w:val="both"/>
              <w:rPr>
                <w:rFonts w:ascii="Arial" w:eastAsia="Times New Roman" w:hAnsi="Arial" w:cs="Arial"/>
                <w:b/>
                <w:bCs/>
                <w:color w:val="000000"/>
                <w:sz w:val="24"/>
                <w:szCs w:val="24"/>
              </w:rPr>
            </w:pPr>
          </w:p>
        </w:tc>
        <w:tc>
          <w:tcPr>
            <w:tcW w:w="529" w:type="pct"/>
            <w:shd w:val="clear" w:color="auto" w:fill="auto"/>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 xml:space="preserve">% </w:t>
            </w:r>
          </w:p>
        </w:tc>
        <w:tc>
          <w:tcPr>
            <w:tcW w:w="1000"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2.9%</w:t>
            </w:r>
          </w:p>
        </w:tc>
        <w:tc>
          <w:tcPr>
            <w:tcW w:w="1000"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5.7%</w:t>
            </w:r>
          </w:p>
        </w:tc>
        <w:tc>
          <w:tcPr>
            <w:tcW w:w="1000" w:type="pct"/>
            <w:shd w:val="clear" w:color="auto" w:fill="auto"/>
            <w:noWrap/>
            <w:hideMark/>
          </w:tcPr>
          <w:p w:rsidR="00A77A8B" w:rsidRPr="00A77A8B" w:rsidRDefault="00A77A8B" w:rsidP="00A17BC2">
            <w:pPr>
              <w:spacing w:line="360" w:lineRule="auto"/>
              <w:jc w:val="both"/>
              <w:rPr>
                <w:rFonts w:ascii="Arial" w:eastAsia="Times New Roman" w:hAnsi="Arial" w:cs="Arial"/>
                <w:b/>
                <w:color w:val="000000"/>
                <w:sz w:val="24"/>
                <w:szCs w:val="24"/>
              </w:rPr>
            </w:pPr>
            <w:r w:rsidRPr="00A77A8B">
              <w:rPr>
                <w:rFonts w:ascii="Arial" w:eastAsia="Times New Roman" w:hAnsi="Arial" w:cs="Arial"/>
                <w:b/>
                <w:color w:val="000000"/>
                <w:sz w:val="24"/>
                <w:szCs w:val="24"/>
              </w:rPr>
              <w:t>4.1%</w:t>
            </w:r>
          </w:p>
        </w:tc>
      </w:tr>
    </w:tbl>
    <w:p w:rsidR="00246985" w:rsidRDefault="00246985">
      <w:pPr>
        <w:spacing w:line="242" w:lineRule="auto"/>
        <w:ind w:left="140" w:right="20"/>
        <w:jc w:val="both"/>
        <w:rPr>
          <w:sz w:val="20"/>
          <w:szCs w:val="20"/>
        </w:rPr>
      </w:pPr>
    </w:p>
    <w:tbl>
      <w:tblPr>
        <w:tblW w:w="5000" w:type="pct"/>
        <w:tblLook w:val="04A0"/>
      </w:tblPr>
      <w:tblGrid>
        <w:gridCol w:w="3247"/>
        <w:gridCol w:w="430"/>
        <w:gridCol w:w="1891"/>
        <w:gridCol w:w="1833"/>
        <w:gridCol w:w="1835"/>
      </w:tblGrid>
      <w:tr w:rsidR="00A77A8B" w:rsidRPr="00A77A8B" w:rsidTr="00A17BC2">
        <w:trPr>
          <w:trHeight w:val="300"/>
        </w:trPr>
        <w:tc>
          <w:tcPr>
            <w:tcW w:w="2000" w:type="pct"/>
            <w:gridSpan w:val="2"/>
            <w:vMerge w:val="restart"/>
            <w:shd w:val="clear" w:color="auto" w:fill="auto"/>
            <w:vAlign w:val="bottom"/>
            <w:hideMark/>
          </w:tcPr>
          <w:p w:rsidR="00A77A8B" w:rsidRPr="00A77A8B" w:rsidRDefault="00A77A8B" w:rsidP="00A17BC2">
            <w:pPr>
              <w:spacing w:line="360" w:lineRule="auto"/>
              <w:jc w:val="both"/>
              <w:rPr>
                <w:rFonts w:ascii="Arial" w:eastAsia="Times New Roman" w:hAnsi="Arial" w:cs="Arial"/>
                <w:b/>
                <w:color w:val="000000"/>
                <w:sz w:val="24"/>
                <w:szCs w:val="24"/>
              </w:rPr>
            </w:pPr>
            <w:r w:rsidRPr="00A77A8B">
              <w:rPr>
                <w:rFonts w:ascii="Arial" w:eastAsia="Times New Roman" w:hAnsi="Arial" w:cs="Arial"/>
                <w:color w:val="000000"/>
                <w:sz w:val="24"/>
                <w:szCs w:val="24"/>
              </w:rPr>
              <w:t> </w:t>
            </w:r>
            <w:r w:rsidRPr="00A77A8B">
              <w:rPr>
                <w:rFonts w:ascii="Arial" w:eastAsia="Times New Roman" w:hAnsi="Arial" w:cs="Arial"/>
                <w:b/>
                <w:color w:val="000000"/>
                <w:sz w:val="24"/>
                <w:szCs w:val="24"/>
              </w:rPr>
              <w:t>By gender</w:t>
            </w:r>
          </w:p>
        </w:tc>
        <w:tc>
          <w:tcPr>
            <w:tcW w:w="2000" w:type="pct"/>
            <w:gridSpan w:val="2"/>
            <w:shd w:val="clear" w:color="auto" w:fill="auto"/>
            <w:vAlign w:val="bottom"/>
            <w:hideMark/>
          </w:tcPr>
          <w:p w:rsidR="00A77A8B" w:rsidRPr="00A77A8B" w:rsidRDefault="00A77A8B" w:rsidP="00A17BC2">
            <w:pPr>
              <w:spacing w:line="360" w:lineRule="auto"/>
              <w:jc w:val="both"/>
              <w:rPr>
                <w:rFonts w:ascii="Arial" w:eastAsia="Times New Roman" w:hAnsi="Arial" w:cs="Arial"/>
                <w:b/>
                <w:color w:val="000000"/>
                <w:sz w:val="24"/>
                <w:szCs w:val="24"/>
              </w:rPr>
            </w:pPr>
            <w:r w:rsidRPr="00A77A8B">
              <w:rPr>
                <w:rFonts w:ascii="Arial" w:eastAsia="Times New Roman" w:hAnsi="Arial" w:cs="Arial"/>
                <w:b/>
                <w:color w:val="000000"/>
                <w:sz w:val="24"/>
                <w:szCs w:val="24"/>
              </w:rPr>
              <w:t>Gender of the infant</w:t>
            </w:r>
          </w:p>
        </w:tc>
        <w:tc>
          <w:tcPr>
            <w:tcW w:w="1000" w:type="pct"/>
            <w:vMerge w:val="restart"/>
            <w:shd w:val="clear" w:color="auto" w:fill="auto"/>
            <w:vAlign w:val="bottom"/>
            <w:hideMark/>
          </w:tcPr>
          <w:p w:rsidR="00A77A8B" w:rsidRPr="00A77A8B" w:rsidRDefault="00A77A8B" w:rsidP="00A17BC2">
            <w:pPr>
              <w:spacing w:line="360" w:lineRule="auto"/>
              <w:jc w:val="both"/>
              <w:rPr>
                <w:rFonts w:ascii="Arial" w:eastAsia="Times New Roman" w:hAnsi="Arial" w:cs="Arial"/>
                <w:b/>
                <w:color w:val="000000"/>
                <w:sz w:val="24"/>
                <w:szCs w:val="24"/>
              </w:rPr>
            </w:pPr>
            <w:r w:rsidRPr="00A77A8B">
              <w:rPr>
                <w:rFonts w:ascii="Arial" w:eastAsia="Times New Roman" w:hAnsi="Arial" w:cs="Arial"/>
                <w:b/>
                <w:color w:val="000000"/>
                <w:sz w:val="24"/>
                <w:szCs w:val="24"/>
              </w:rPr>
              <w:t>Total stunting</w:t>
            </w:r>
          </w:p>
        </w:tc>
      </w:tr>
      <w:tr w:rsidR="00A77A8B" w:rsidRPr="00A77A8B" w:rsidTr="00A17BC2">
        <w:trPr>
          <w:trHeight w:val="300"/>
        </w:trPr>
        <w:tc>
          <w:tcPr>
            <w:tcW w:w="2000" w:type="pct"/>
            <w:gridSpan w:val="2"/>
            <w:vMerge/>
            <w:tcBorders>
              <w:bottom w:val="single" w:sz="4" w:space="0" w:color="auto"/>
            </w:tcBorders>
            <w:vAlign w:val="center"/>
            <w:hideMark/>
          </w:tcPr>
          <w:p w:rsidR="00A77A8B" w:rsidRPr="00A77A8B" w:rsidRDefault="00A77A8B" w:rsidP="00A17BC2">
            <w:pPr>
              <w:spacing w:line="360" w:lineRule="auto"/>
              <w:jc w:val="both"/>
              <w:rPr>
                <w:rFonts w:ascii="Arial" w:eastAsia="Times New Roman" w:hAnsi="Arial" w:cs="Arial"/>
                <w:b/>
                <w:bCs/>
                <w:color w:val="000000"/>
                <w:sz w:val="24"/>
                <w:szCs w:val="24"/>
              </w:rPr>
            </w:pPr>
          </w:p>
        </w:tc>
        <w:tc>
          <w:tcPr>
            <w:tcW w:w="1000" w:type="pct"/>
            <w:tcBorders>
              <w:bottom w:val="single" w:sz="4" w:space="0" w:color="auto"/>
            </w:tcBorders>
            <w:shd w:val="clear" w:color="auto" w:fill="auto"/>
            <w:vAlign w:val="bottom"/>
            <w:hideMark/>
          </w:tcPr>
          <w:p w:rsidR="00A77A8B" w:rsidRPr="00A77A8B" w:rsidRDefault="00A77A8B" w:rsidP="00A17BC2">
            <w:pPr>
              <w:spacing w:line="360" w:lineRule="auto"/>
              <w:jc w:val="both"/>
              <w:rPr>
                <w:rFonts w:ascii="Arial" w:eastAsia="Times New Roman" w:hAnsi="Arial" w:cs="Arial"/>
                <w:b/>
                <w:color w:val="000000"/>
                <w:sz w:val="24"/>
                <w:szCs w:val="24"/>
              </w:rPr>
            </w:pPr>
            <w:r w:rsidRPr="00A77A8B">
              <w:rPr>
                <w:rFonts w:ascii="Arial" w:eastAsia="Times New Roman" w:hAnsi="Arial" w:cs="Arial"/>
                <w:b/>
                <w:color w:val="000000"/>
                <w:sz w:val="24"/>
                <w:szCs w:val="24"/>
              </w:rPr>
              <w:t>Female(n=140)</w:t>
            </w:r>
          </w:p>
        </w:tc>
        <w:tc>
          <w:tcPr>
            <w:tcW w:w="1000" w:type="pct"/>
            <w:tcBorders>
              <w:bottom w:val="single" w:sz="4" w:space="0" w:color="auto"/>
            </w:tcBorders>
            <w:shd w:val="clear" w:color="auto" w:fill="auto"/>
            <w:vAlign w:val="bottom"/>
            <w:hideMark/>
          </w:tcPr>
          <w:p w:rsidR="00A77A8B" w:rsidRPr="00A77A8B" w:rsidRDefault="00A77A8B" w:rsidP="00A17BC2">
            <w:pPr>
              <w:spacing w:line="360" w:lineRule="auto"/>
              <w:jc w:val="both"/>
              <w:rPr>
                <w:rFonts w:ascii="Arial" w:eastAsia="Times New Roman" w:hAnsi="Arial" w:cs="Arial"/>
                <w:b/>
                <w:color w:val="000000"/>
                <w:sz w:val="24"/>
                <w:szCs w:val="24"/>
              </w:rPr>
            </w:pPr>
            <w:r w:rsidRPr="00A77A8B">
              <w:rPr>
                <w:rFonts w:ascii="Arial" w:eastAsia="Times New Roman" w:hAnsi="Arial" w:cs="Arial"/>
                <w:b/>
                <w:color w:val="000000"/>
                <w:sz w:val="24"/>
                <w:szCs w:val="24"/>
              </w:rPr>
              <w:t>Male(n=106)</w:t>
            </w:r>
          </w:p>
        </w:tc>
        <w:tc>
          <w:tcPr>
            <w:tcW w:w="1000" w:type="pct"/>
            <w:vMerge/>
            <w:tcBorders>
              <w:bottom w:val="single" w:sz="4" w:space="0" w:color="auto"/>
            </w:tcBorders>
            <w:vAlign w:val="center"/>
            <w:hideMark/>
          </w:tcPr>
          <w:p w:rsidR="00A77A8B" w:rsidRPr="00A77A8B" w:rsidRDefault="00A77A8B" w:rsidP="00A17BC2">
            <w:pPr>
              <w:spacing w:line="360" w:lineRule="auto"/>
              <w:jc w:val="both"/>
              <w:rPr>
                <w:rFonts w:ascii="Arial" w:eastAsia="Times New Roman" w:hAnsi="Arial" w:cs="Arial"/>
                <w:b/>
                <w:bCs/>
                <w:color w:val="000000"/>
                <w:sz w:val="24"/>
                <w:szCs w:val="24"/>
              </w:rPr>
            </w:pPr>
          </w:p>
        </w:tc>
      </w:tr>
      <w:tr w:rsidR="00A77A8B" w:rsidRPr="00A77A8B" w:rsidTr="00A17BC2">
        <w:trPr>
          <w:trHeight w:val="300"/>
        </w:trPr>
        <w:tc>
          <w:tcPr>
            <w:tcW w:w="1764" w:type="pct"/>
            <w:vMerge w:val="restart"/>
            <w:tcBorders>
              <w:top w:val="single" w:sz="4" w:space="0" w:color="auto"/>
            </w:tcBorders>
            <w:shd w:val="clear" w:color="auto" w:fill="auto"/>
            <w:hideMark/>
          </w:tcPr>
          <w:p w:rsidR="00A77A8B" w:rsidRPr="00A77A8B" w:rsidRDefault="00A77A8B" w:rsidP="00A17BC2">
            <w:pPr>
              <w:spacing w:line="360" w:lineRule="auto"/>
              <w:rPr>
                <w:rFonts w:ascii="Arial" w:eastAsia="Times New Roman" w:hAnsi="Arial" w:cs="Arial"/>
                <w:color w:val="000000"/>
                <w:sz w:val="24"/>
                <w:szCs w:val="24"/>
              </w:rPr>
            </w:pPr>
            <w:r w:rsidRPr="00A77A8B">
              <w:rPr>
                <w:rFonts w:ascii="Arial" w:eastAsia="Times New Roman" w:hAnsi="Arial" w:cs="Arial"/>
                <w:color w:val="000000"/>
                <w:sz w:val="24"/>
                <w:szCs w:val="24"/>
              </w:rPr>
              <w:t>Normal≥ -2SD to&lt;+2SD</w:t>
            </w:r>
          </w:p>
        </w:tc>
        <w:tc>
          <w:tcPr>
            <w:tcW w:w="237" w:type="pct"/>
            <w:tcBorders>
              <w:top w:val="single" w:sz="4" w:space="0" w:color="auto"/>
            </w:tcBorders>
            <w:shd w:val="clear" w:color="auto" w:fill="auto"/>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f</w:t>
            </w:r>
          </w:p>
        </w:tc>
        <w:tc>
          <w:tcPr>
            <w:tcW w:w="1000" w:type="pct"/>
            <w:tcBorders>
              <w:top w:val="single" w:sz="4" w:space="0" w:color="auto"/>
            </w:tcBorders>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118</w:t>
            </w:r>
          </w:p>
        </w:tc>
        <w:tc>
          <w:tcPr>
            <w:tcW w:w="1000" w:type="pct"/>
            <w:tcBorders>
              <w:top w:val="single" w:sz="4" w:space="0" w:color="auto"/>
            </w:tcBorders>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74</w:t>
            </w:r>
          </w:p>
        </w:tc>
        <w:tc>
          <w:tcPr>
            <w:tcW w:w="1000" w:type="pct"/>
            <w:tcBorders>
              <w:top w:val="single" w:sz="4" w:space="0" w:color="auto"/>
            </w:tcBorders>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192</w:t>
            </w:r>
          </w:p>
        </w:tc>
      </w:tr>
      <w:tr w:rsidR="00A77A8B" w:rsidRPr="00A77A8B" w:rsidTr="00A17BC2">
        <w:trPr>
          <w:trHeight w:val="300"/>
        </w:trPr>
        <w:tc>
          <w:tcPr>
            <w:tcW w:w="1764" w:type="pct"/>
            <w:vMerge/>
            <w:vAlign w:val="center"/>
            <w:hideMark/>
          </w:tcPr>
          <w:p w:rsidR="00A77A8B" w:rsidRPr="00A77A8B" w:rsidRDefault="00A77A8B" w:rsidP="00A17BC2">
            <w:pPr>
              <w:spacing w:line="360" w:lineRule="auto"/>
              <w:jc w:val="both"/>
              <w:rPr>
                <w:rFonts w:ascii="Arial" w:eastAsia="Times New Roman" w:hAnsi="Arial" w:cs="Arial"/>
                <w:b/>
                <w:bCs/>
                <w:color w:val="000000"/>
                <w:sz w:val="24"/>
                <w:szCs w:val="24"/>
              </w:rPr>
            </w:pPr>
          </w:p>
        </w:tc>
        <w:tc>
          <w:tcPr>
            <w:tcW w:w="237" w:type="pct"/>
            <w:shd w:val="clear" w:color="auto" w:fill="auto"/>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 xml:space="preserve">% </w:t>
            </w:r>
          </w:p>
        </w:tc>
        <w:tc>
          <w:tcPr>
            <w:tcW w:w="1000"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84.3%</w:t>
            </w:r>
          </w:p>
        </w:tc>
        <w:tc>
          <w:tcPr>
            <w:tcW w:w="1000"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69.8%</w:t>
            </w:r>
          </w:p>
        </w:tc>
        <w:tc>
          <w:tcPr>
            <w:tcW w:w="1000"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78.0%</w:t>
            </w:r>
          </w:p>
        </w:tc>
      </w:tr>
      <w:tr w:rsidR="00A77A8B" w:rsidRPr="00A77A8B" w:rsidTr="00A17BC2">
        <w:trPr>
          <w:trHeight w:val="300"/>
        </w:trPr>
        <w:tc>
          <w:tcPr>
            <w:tcW w:w="1764" w:type="pct"/>
            <w:vMerge w:val="restart"/>
            <w:shd w:val="clear" w:color="auto" w:fill="auto"/>
            <w:hideMark/>
          </w:tcPr>
          <w:p w:rsidR="00A77A8B" w:rsidRPr="00A77A8B" w:rsidRDefault="00A77A8B" w:rsidP="00A17BC2">
            <w:pPr>
              <w:spacing w:line="360" w:lineRule="auto"/>
              <w:rPr>
                <w:rFonts w:ascii="Arial" w:eastAsia="Times New Roman" w:hAnsi="Arial" w:cs="Arial"/>
                <w:b/>
                <w:color w:val="000000"/>
                <w:sz w:val="24"/>
                <w:szCs w:val="24"/>
              </w:rPr>
            </w:pPr>
            <w:r w:rsidRPr="00A77A8B">
              <w:rPr>
                <w:rFonts w:ascii="Arial" w:eastAsia="Times New Roman" w:hAnsi="Arial" w:cs="Arial"/>
                <w:b/>
                <w:color w:val="000000"/>
                <w:sz w:val="24"/>
                <w:szCs w:val="24"/>
              </w:rPr>
              <w:t>Moderately stunted≥-3SD to &lt;-2SD</w:t>
            </w:r>
          </w:p>
        </w:tc>
        <w:tc>
          <w:tcPr>
            <w:tcW w:w="237" w:type="pct"/>
            <w:shd w:val="clear" w:color="auto" w:fill="auto"/>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f</w:t>
            </w:r>
          </w:p>
        </w:tc>
        <w:tc>
          <w:tcPr>
            <w:tcW w:w="1000"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13</w:t>
            </w:r>
          </w:p>
        </w:tc>
        <w:tc>
          <w:tcPr>
            <w:tcW w:w="1000"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16</w:t>
            </w:r>
          </w:p>
        </w:tc>
        <w:tc>
          <w:tcPr>
            <w:tcW w:w="1000" w:type="pct"/>
            <w:shd w:val="clear" w:color="auto" w:fill="auto"/>
            <w:noWrap/>
            <w:hideMark/>
          </w:tcPr>
          <w:p w:rsidR="00A77A8B" w:rsidRPr="00A77A8B" w:rsidRDefault="00A77A8B" w:rsidP="00A17BC2">
            <w:pPr>
              <w:spacing w:line="360" w:lineRule="auto"/>
              <w:jc w:val="both"/>
              <w:rPr>
                <w:rFonts w:ascii="Arial" w:eastAsia="Times New Roman" w:hAnsi="Arial" w:cs="Arial"/>
                <w:b/>
                <w:color w:val="000000"/>
                <w:sz w:val="24"/>
                <w:szCs w:val="24"/>
              </w:rPr>
            </w:pPr>
            <w:r w:rsidRPr="00A77A8B">
              <w:rPr>
                <w:rFonts w:ascii="Arial" w:eastAsia="Times New Roman" w:hAnsi="Arial" w:cs="Arial"/>
                <w:b/>
                <w:color w:val="000000"/>
                <w:sz w:val="24"/>
                <w:szCs w:val="24"/>
              </w:rPr>
              <w:t>29</w:t>
            </w:r>
          </w:p>
        </w:tc>
      </w:tr>
      <w:tr w:rsidR="00A77A8B" w:rsidRPr="00A77A8B" w:rsidTr="00A17BC2">
        <w:trPr>
          <w:trHeight w:val="300"/>
        </w:trPr>
        <w:tc>
          <w:tcPr>
            <w:tcW w:w="1764" w:type="pct"/>
            <w:vMerge/>
            <w:vAlign w:val="center"/>
            <w:hideMark/>
          </w:tcPr>
          <w:p w:rsidR="00A77A8B" w:rsidRPr="00A77A8B" w:rsidRDefault="00A77A8B" w:rsidP="00A17BC2">
            <w:pPr>
              <w:spacing w:line="360" w:lineRule="auto"/>
              <w:jc w:val="both"/>
              <w:rPr>
                <w:rFonts w:ascii="Arial" w:eastAsia="Times New Roman" w:hAnsi="Arial" w:cs="Arial"/>
                <w:b/>
                <w:bCs/>
                <w:color w:val="000000"/>
                <w:sz w:val="24"/>
                <w:szCs w:val="24"/>
              </w:rPr>
            </w:pPr>
          </w:p>
        </w:tc>
        <w:tc>
          <w:tcPr>
            <w:tcW w:w="237" w:type="pct"/>
            <w:shd w:val="clear" w:color="auto" w:fill="auto"/>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 xml:space="preserve">% </w:t>
            </w:r>
          </w:p>
        </w:tc>
        <w:tc>
          <w:tcPr>
            <w:tcW w:w="1000"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9.3%</w:t>
            </w:r>
          </w:p>
        </w:tc>
        <w:tc>
          <w:tcPr>
            <w:tcW w:w="1000"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15.1%</w:t>
            </w:r>
          </w:p>
        </w:tc>
        <w:tc>
          <w:tcPr>
            <w:tcW w:w="1000" w:type="pct"/>
            <w:shd w:val="clear" w:color="auto" w:fill="auto"/>
            <w:noWrap/>
            <w:hideMark/>
          </w:tcPr>
          <w:p w:rsidR="00A77A8B" w:rsidRPr="00A77A8B" w:rsidRDefault="00A77A8B" w:rsidP="00A17BC2">
            <w:pPr>
              <w:spacing w:line="360" w:lineRule="auto"/>
              <w:jc w:val="both"/>
              <w:rPr>
                <w:rFonts w:ascii="Arial" w:eastAsia="Times New Roman" w:hAnsi="Arial" w:cs="Arial"/>
                <w:b/>
                <w:color w:val="000000"/>
                <w:sz w:val="24"/>
                <w:szCs w:val="24"/>
              </w:rPr>
            </w:pPr>
            <w:r w:rsidRPr="00A77A8B">
              <w:rPr>
                <w:rFonts w:ascii="Arial" w:eastAsia="Times New Roman" w:hAnsi="Arial" w:cs="Arial"/>
                <w:b/>
                <w:color w:val="000000"/>
                <w:sz w:val="24"/>
                <w:szCs w:val="24"/>
              </w:rPr>
              <w:t>11.8%</w:t>
            </w:r>
          </w:p>
        </w:tc>
      </w:tr>
      <w:tr w:rsidR="00A77A8B" w:rsidRPr="00A77A8B" w:rsidTr="00A17BC2">
        <w:trPr>
          <w:trHeight w:val="300"/>
        </w:trPr>
        <w:tc>
          <w:tcPr>
            <w:tcW w:w="1764" w:type="pct"/>
            <w:vMerge w:val="restart"/>
            <w:shd w:val="clear" w:color="auto" w:fill="auto"/>
            <w:hideMark/>
          </w:tcPr>
          <w:p w:rsidR="00A77A8B" w:rsidRPr="00A77A8B" w:rsidRDefault="00A77A8B" w:rsidP="00A17BC2">
            <w:pPr>
              <w:spacing w:line="360" w:lineRule="auto"/>
              <w:rPr>
                <w:rFonts w:ascii="Arial" w:eastAsia="Times New Roman" w:hAnsi="Arial" w:cs="Arial"/>
                <w:b/>
                <w:color w:val="000000"/>
                <w:sz w:val="24"/>
                <w:szCs w:val="24"/>
              </w:rPr>
            </w:pPr>
            <w:r w:rsidRPr="00A77A8B">
              <w:rPr>
                <w:rFonts w:ascii="Arial" w:eastAsia="Times New Roman" w:hAnsi="Arial" w:cs="Arial"/>
                <w:b/>
                <w:color w:val="000000"/>
                <w:sz w:val="24"/>
                <w:szCs w:val="24"/>
              </w:rPr>
              <w:t>Severely stunted&lt; -3SD</w:t>
            </w:r>
          </w:p>
        </w:tc>
        <w:tc>
          <w:tcPr>
            <w:tcW w:w="237" w:type="pct"/>
            <w:shd w:val="clear" w:color="auto" w:fill="auto"/>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f</w:t>
            </w:r>
          </w:p>
        </w:tc>
        <w:tc>
          <w:tcPr>
            <w:tcW w:w="1000"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9</w:t>
            </w:r>
          </w:p>
        </w:tc>
        <w:tc>
          <w:tcPr>
            <w:tcW w:w="1000"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16</w:t>
            </w:r>
          </w:p>
        </w:tc>
        <w:tc>
          <w:tcPr>
            <w:tcW w:w="1000" w:type="pct"/>
            <w:shd w:val="clear" w:color="auto" w:fill="auto"/>
            <w:noWrap/>
            <w:hideMark/>
          </w:tcPr>
          <w:p w:rsidR="00A77A8B" w:rsidRPr="00A77A8B" w:rsidRDefault="00A77A8B" w:rsidP="00A17BC2">
            <w:pPr>
              <w:spacing w:line="360" w:lineRule="auto"/>
              <w:jc w:val="both"/>
              <w:rPr>
                <w:rFonts w:ascii="Arial" w:eastAsia="Times New Roman" w:hAnsi="Arial" w:cs="Arial"/>
                <w:b/>
                <w:color w:val="000000"/>
                <w:sz w:val="24"/>
                <w:szCs w:val="24"/>
              </w:rPr>
            </w:pPr>
            <w:r w:rsidRPr="00A77A8B">
              <w:rPr>
                <w:rFonts w:ascii="Arial" w:eastAsia="Times New Roman" w:hAnsi="Arial" w:cs="Arial"/>
                <w:b/>
                <w:color w:val="000000"/>
                <w:sz w:val="24"/>
                <w:szCs w:val="24"/>
              </w:rPr>
              <w:t>25</w:t>
            </w:r>
          </w:p>
        </w:tc>
      </w:tr>
      <w:tr w:rsidR="00A77A8B" w:rsidRPr="00A77A8B" w:rsidTr="00A17BC2">
        <w:trPr>
          <w:trHeight w:val="300"/>
        </w:trPr>
        <w:tc>
          <w:tcPr>
            <w:tcW w:w="1764" w:type="pct"/>
            <w:vMerge/>
            <w:tcBorders>
              <w:bottom w:val="single" w:sz="4" w:space="0" w:color="auto"/>
            </w:tcBorders>
            <w:vAlign w:val="center"/>
            <w:hideMark/>
          </w:tcPr>
          <w:p w:rsidR="00A77A8B" w:rsidRPr="00A77A8B" w:rsidRDefault="00A77A8B" w:rsidP="00A17BC2">
            <w:pPr>
              <w:spacing w:line="360" w:lineRule="auto"/>
              <w:jc w:val="both"/>
              <w:rPr>
                <w:rFonts w:ascii="Arial" w:eastAsia="Times New Roman" w:hAnsi="Arial" w:cs="Arial"/>
                <w:b/>
                <w:bCs/>
                <w:color w:val="000000"/>
                <w:sz w:val="24"/>
                <w:szCs w:val="24"/>
              </w:rPr>
            </w:pPr>
          </w:p>
        </w:tc>
        <w:tc>
          <w:tcPr>
            <w:tcW w:w="237" w:type="pct"/>
            <w:tcBorders>
              <w:bottom w:val="single" w:sz="4" w:space="0" w:color="auto"/>
            </w:tcBorders>
            <w:shd w:val="clear" w:color="auto" w:fill="auto"/>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 xml:space="preserve">% </w:t>
            </w:r>
          </w:p>
        </w:tc>
        <w:tc>
          <w:tcPr>
            <w:tcW w:w="1000" w:type="pct"/>
            <w:tcBorders>
              <w:bottom w:val="single" w:sz="4" w:space="0" w:color="auto"/>
            </w:tcBorders>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6.4%</w:t>
            </w:r>
          </w:p>
        </w:tc>
        <w:tc>
          <w:tcPr>
            <w:tcW w:w="1000" w:type="pct"/>
            <w:tcBorders>
              <w:bottom w:val="single" w:sz="4" w:space="0" w:color="auto"/>
            </w:tcBorders>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15.1%</w:t>
            </w:r>
          </w:p>
        </w:tc>
        <w:tc>
          <w:tcPr>
            <w:tcW w:w="1000" w:type="pct"/>
            <w:tcBorders>
              <w:bottom w:val="single" w:sz="4" w:space="0" w:color="auto"/>
            </w:tcBorders>
            <w:shd w:val="clear" w:color="auto" w:fill="auto"/>
            <w:noWrap/>
            <w:hideMark/>
          </w:tcPr>
          <w:p w:rsidR="00A77A8B" w:rsidRPr="00A77A8B" w:rsidRDefault="00A77A8B" w:rsidP="00A17BC2">
            <w:pPr>
              <w:spacing w:line="360" w:lineRule="auto"/>
              <w:jc w:val="both"/>
              <w:rPr>
                <w:rFonts w:ascii="Arial" w:eastAsia="Times New Roman" w:hAnsi="Arial" w:cs="Arial"/>
                <w:b/>
                <w:color w:val="000000"/>
                <w:sz w:val="24"/>
                <w:szCs w:val="24"/>
              </w:rPr>
            </w:pPr>
            <w:r w:rsidRPr="00A77A8B">
              <w:rPr>
                <w:rFonts w:ascii="Arial" w:eastAsia="Times New Roman" w:hAnsi="Arial" w:cs="Arial"/>
                <w:b/>
                <w:color w:val="000000"/>
                <w:sz w:val="24"/>
                <w:szCs w:val="24"/>
              </w:rPr>
              <w:t>10.2%</w:t>
            </w:r>
          </w:p>
        </w:tc>
      </w:tr>
    </w:tbl>
    <w:p w:rsidR="00246985" w:rsidRDefault="00246985" w:rsidP="00F96342">
      <w:pPr>
        <w:ind w:left="500"/>
        <w:rPr>
          <w:rFonts w:ascii="Arial" w:eastAsia="Arial" w:hAnsi="Arial" w:cs="Arial"/>
          <w:i/>
          <w:iCs/>
          <w:sz w:val="24"/>
          <w:szCs w:val="24"/>
        </w:rPr>
      </w:pPr>
    </w:p>
    <w:tbl>
      <w:tblPr>
        <w:tblW w:w="5000" w:type="pct"/>
        <w:tblBorders>
          <w:top w:val="single" w:sz="4" w:space="0" w:color="auto"/>
        </w:tblBorders>
        <w:tblLook w:val="04A0"/>
      </w:tblPr>
      <w:tblGrid>
        <w:gridCol w:w="3668"/>
        <w:gridCol w:w="430"/>
        <w:gridCol w:w="1891"/>
        <w:gridCol w:w="1604"/>
        <w:gridCol w:w="1643"/>
      </w:tblGrid>
      <w:tr w:rsidR="00A77A8B" w:rsidRPr="00A77A8B" w:rsidTr="00A17BC2">
        <w:trPr>
          <w:trHeight w:val="300"/>
        </w:trPr>
        <w:tc>
          <w:tcPr>
            <w:tcW w:w="2242" w:type="pct"/>
            <w:gridSpan w:val="2"/>
            <w:vMerge w:val="restart"/>
            <w:shd w:val="clear" w:color="auto" w:fill="auto"/>
            <w:vAlign w:val="bottom"/>
            <w:hideMark/>
          </w:tcPr>
          <w:p w:rsidR="00A77A8B" w:rsidRPr="00A77A8B" w:rsidRDefault="00A77A8B" w:rsidP="00A17BC2">
            <w:pPr>
              <w:spacing w:line="360" w:lineRule="auto"/>
              <w:jc w:val="both"/>
              <w:rPr>
                <w:rFonts w:ascii="Arial" w:eastAsia="Times New Roman" w:hAnsi="Arial" w:cs="Arial"/>
                <w:b/>
                <w:color w:val="000000"/>
                <w:sz w:val="24"/>
                <w:szCs w:val="24"/>
              </w:rPr>
            </w:pPr>
            <w:r w:rsidRPr="00A77A8B">
              <w:rPr>
                <w:rFonts w:ascii="Arial" w:eastAsia="Times New Roman" w:hAnsi="Arial" w:cs="Arial"/>
                <w:color w:val="000000"/>
                <w:sz w:val="24"/>
                <w:szCs w:val="24"/>
              </w:rPr>
              <w:t> </w:t>
            </w:r>
            <w:r w:rsidRPr="00A77A8B">
              <w:rPr>
                <w:rFonts w:ascii="Arial" w:eastAsia="Times New Roman" w:hAnsi="Arial" w:cs="Arial"/>
                <w:b/>
                <w:color w:val="000000"/>
                <w:sz w:val="24"/>
                <w:szCs w:val="24"/>
              </w:rPr>
              <w:t>By gender</w:t>
            </w:r>
          </w:p>
        </w:tc>
        <w:tc>
          <w:tcPr>
            <w:tcW w:w="1854" w:type="pct"/>
            <w:gridSpan w:val="2"/>
            <w:shd w:val="clear" w:color="auto" w:fill="auto"/>
            <w:vAlign w:val="bottom"/>
            <w:hideMark/>
          </w:tcPr>
          <w:p w:rsidR="00A77A8B" w:rsidRPr="00A77A8B" w:rsidRDefault="00A77A8B" w:rsidP="00A17BC2">
            <w:pPr>
              <w:spacing w:line="360" w:lineRule="auto"/>
              <w:jc w:val="both"/>
              <w:rPr>
                <w:rFonts w:ascii="Arial" w:eastAsia="Times New Roman" w:hAnsi="Arial" w:cs="Arial"/>
                <w:b/>
                <w:color w:val="000000"/>
                <w:sz w:val="24"/>
                <w:szCs w:val="24"/>
              </w:rPr>
            </w:pPr>
            <w:r w:rsidRPr="00A77A8B">
              <w:rPr>
                <w:rFonts w:ascii="Arial" w:eastAsia="Times New Roman" w:hAnsi="Arial" w:cs="Arial"/>
                <w:b/>
                <w:color w:val="000000"/>
                <w:sz w:val="24"/>
                <w:szCs w:val="24"/>
              </w:rPr>
              <w:t>Gender of the infant</w:t>
            </w:r>
          </w:p>
        </w:tc>
        <w:tc>
          <w:tcPr>
            <w:tcW w:w="904" w:type="pct"/>
            <w:vMerge w:val="restart"/>
            <w:shd w:val="clear" w:color="auto" w:fill="auto"/>
            <w:vAlign w:val="bottom"/>
            <w:hideMark/>
          </w:tcPr>
          <w:p w:rsidR="00A77A8B" w:rsidRPr="00A77A8B" w:rsidRDefault="00A77A8B" w:rsidP="00A17BC2">
            <w:pPr>
              <w:spacing w:line="360" w:lineRule="auto"/>
              <w:jc w:val="both"/>
              <w:rPr>
                <w:rFonts w:ascii="Arial" w:eastAsia="Times New Roman" w:hAnsi="Arial" w:cs="Arial"/>
                <w:b/>
                <w:color w:val="000000"/>
                <w:sz w:val="24"/>
                <w:szCs w:val="24"/>
              </w:rPr>
            </w:pPr>
            <w:r w:rsidRPr="00A77A8B">
              <w:rPr>
                <w:rFonts w:ascii="Arial" w:eastAsia="Times New Roman" w:hAnsi="Arial" w:cs="Arial"/>
                <w:b/>
                <w:color w:val="000000"/>
                <w:sz w:val="24"/>
                <w:szCs w:val="24"/>
              </w:rPr>
              <w:t>Total underweight</w:t>
            </w:r>
          </w:p>
        </w:tc>
      </w:tr>
      <w:tr w:rsidR="00A77A8B" w:rsidRPr="00A77A8B" w:rsidTr="00A17BC2">
        <w:trPr>
          <w:trHeight w:val="300"/>
        </w:trPr>
        <w:tc>
          <w:tcPr>
            <w:tcW w:w="2242" w:type="pct"/>
            <w:gridSpan w:val="2"/>
            <w:vMerge/>
            <w:tcBorders>
              <w:bottom w:val="single" w:sz="4" w:space="0" w:color="auto"/>
            </w:tcBorders>
            <w:vAlign w:val="center"/>
            <w:hideMark/>
          </w:tcPr>
          <w:p w:rsidR="00A77A8B" w:rsidRPr="00A77A8B" w:rsidRDefault="00A77A8B" w:rsidP="00A17BC2">
            <w:pPr>
              <w:spacing w:line="360" w:lineRule="auto"/>
              <w:jc w:val="both"/>
              <w:rPr>
                <w:rFonts w:ascii="Arial" w:eastAsia="Times New Roman" w:hAnsi="Arial" w:cs="Arial"/>
                <w:b/>
                <w:bCs/>
                <w:color w:val="000000"/>
                <w:sz w:val="24"/>
                <w:szCs w:val="24"/>
              </w:rPr>
            </w:pPr>
          </w:p>
        </w:tc>
        <w:tc>
          <w:tcPr>
            <w:tcW w:w="949" w:type="pct"/>
            <w:tcBorders>
              <w:bottom w:val="single" w:sz="4" w:space="0" w:color="auto"/>
            </w:tcBorders>
            <w:shd w:val="clear" w:color="auto" w:fill="auto"/>
            <w:vAlign w:val="bottom"/>
            <w:hideMark/>
          </w:tcPr>
          <w:p w:rsidR="00A77A8B" w:rsidRPr="00A77A8B" w:rsidRDefault="00A77A8B" w:rsidP="00A17BC2">
            <w:pPr>
              <w:spacing w:line="360" w:lineRule="auto"/>
              <w:jc w:val="both"/>
              <w:rPr>
                <w:rFonts w:ascii="Arial" w:eastAsia="Times New Roman" w:hAnsi="Arial" w:cs="Arial"/>
                <w:b/>
                <w:color w:val="000000"/>
                <w:sz w:val="24"/>
                <w:szCs w:val="24"/>
              </w:rPr>
            </w:pPr>
            <w:r w:rsidRPr="00A77A8B">
              <w:rPr>
                <w:rFonts w:ascii="Arial" w:eastAsia="Times New Roman" w:hAnsi="Arial" w:cs="Arial"/>
                <w:b/>
                <w:color w:val="000000"/>
                <w:sz w:val="24"/>
                <w:szCs w:val="24"/>
              </w:rPr>
              <w:t>Female(n=140)</w:t>
            </w:r>
          </w:p>
        </w:tc>
        <w:tc>
          <w:tcPr>
            <w:tcW w:w="905" w:type="pct"/>
            <w:tcBorders>
              <w:bottom w:val="single" w:sz="4" w:space="0" w:color="auto"/>
            </w:tcBorders>
            <w:shd w:val="clear" w:color="auto" w:fill="auto"/>
            <w:vAlign w:val="bottom"/>
            <w:hideMark/>
          </w:tcPr>
          <w:p w:rsidR="00A77A8B" w:rsidRPr="00A77A8B" w:rsidRDefault="00A77A8B" w:rsidP="00A17BC2">
            <w:pPr>
              <w:spacing w:line="360" w:lineRule="auto"/>
              <w:jc w:val="both"/>
              <w:rPr>
                <w:rFonts w:ascii="Arial" w:eastAsia="Times New Roman" w:hAnsi="Arial" w:cs="Arial"/>
                <w:b/>
                <w:color w:val="000000"/>
                <w:sz w:val="24"/>
                <w:szCs w:val="24"/>
              </w:rPr>
            </w:pPr>
            <w:r w:rsidRPr="00A77A8B">
              <w:rPr>
                <w:rFonts w:ascii="Arial" w:eastAsia="Times New Roman" w:hAnsi="Arial" w:cs="Arial"/>
                <w:b/>
                <w:color w:val="000000"/>
                <w:sz w:val="24"/>
                <w:szCs w:val="24"/>
              </w:rPr>
              <w:t>Male(n=106)</w:t>
            </w:r>
          </w:p>
        </w:tc>
        <w:tc>
          <w:tcPr>
            <w:tcW w:w="904" w:type="pct"/>
            <w:vMerge/>
            <w:tcBorders>
              <w:bottom w:val="single" w:sz="4" w:space="0" w:color="auto"/>
            </w:tcBorders>
            <w:vAlign w:val="center"/>
            <w:hideMark/>
          </w:tcPr>
          <w:p w:rsidR="00A77A8B" w:rsidRPr="00A77A8B" w:rsidRDefault="00A77A8B" w:rsidP="00A17BC2">
            <w:pPr>
              <w:spacing w:line="360" w:lineRule="auto"/>
              <w:jc w:val="both"/>
              <w:rPr>
                <w:rFonts w:ascii="Arial" w:eastAsia="Times New Roman" w:hAnsi="Arial" w:cs="Arial"/>
                <w:b/>
                <w:bCs/>
                <w:color w:val="000000"/>
                <w:sz w:val="24"/>
                <w:szCs w:val="24"/>
              </w:rPr>
            </w:pPr>
          </w:p>
        </w:tc>
      </w:tr>
      <w:tr w:rsidR="00A77A8B" w:rsidRPr="00A77A8B" w:rsidTr="00A17BC2">
        <w:trPr>
          <w:trHeight w:val="300"/>
        </w:trPr>
        <w:tc>
          <w:tcPr>
            <w:tcW w:w="2007" w:type="pct"/>
            <w:vMerge w:val="restart"/>
            <w:tcBorders>
              <w:top w:val="single" w:sz="4" w:space="0" w:color="auto"/>
            </w:tcBorders>
            <w:shd w:val="clear" w:color="auto" w:fill="auto"/>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Normal</w:t>
            </w:r>
          </w:p>
        </w:tc>
        <w:tc>
          <w:tcPr>
            <w:tcW w:w="235" w:type="pct"/>
            <w:tcBorders>
              <w:top w:val="single" w:sz="4" w:space="0" w:color="auto"/>
            </w:tcBorders>
            <w:shd w:val="clear" w:color="auto" w:fill="auto"/>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f</w:t>
            </w:r>
          </w:p>
        </w:tc>
        <w:tc>
          <w:tcPr>
            <w:tcW w:w="949" w:type="pct"/>
            <w:tcBorders>
              <w:top w:val="single" w:sz="4" w:space="0" w:color="auto"/>
            </w:tcBorders>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107</w:t>
            </w:r>
          </w:p>
        </w:tc>
        <w:tc>
          <w:tcPr>
            <w:tcW w:w="905" w:type="pct"/>
            <w:tcBorders>
              <w:top w:val="single" w:sz="4" w:space="0" w:color="auto"/>
            </w:tcBorders>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66</w:t>
            </w:r>
          </w:p>
        </w:tc>
        <w:tc>
          <w:tcPr>
            <w:tcW w:w="904" w:type="pct"/>
            <w:tcBorders>
              <w:top w:val="single" w:sz="4" w:space="0" w:color="auto"/>
            </w:tcBorders>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173</w:t>
            </w:r>
          </w:p>
        </w:tc>
      </w:tr>
      <w:tr w:rsidR="00A77A8B" w:rsidRPr="00A77A8B" w:rsidTr="00A17BC2">
        <w:trPr>
          <w:trHeight w:val="350"/>
        </w:trPr>
        <w:tc>
          <w:tcPr>
            <w:tcW w:w="2007" w:type="pct"/>
            <w:vMerge/>
            <w:tcBorders>
              <w:top w:val="single" w:sz="4" w:space="0" w:color="auto"/>
            </w:tcBorders>
            <w:vAlign w:val="center"/>
            <w:hideMark/>
          </w:tcPr>
          <w:p w:rsidR="00A77A8B" w:rsidRPr="00A77A8B" w:rsidRDefault="00A77A8B" w:rsidP="00A17BC2">
            <w:pPr>
              <w:spacing w:line="360" w:lineRule="auto"/>
              <w:jc w:val="both"/>
              <w:rPr>
                <w:rFonts w:ascii="Arial" w:eastAsia="Times New Roman" w:hAnsi="Arial" w:cs="Arial"/>
                <w:b/>
                <w:bCs/>
                <w:color w:val="000000"/>
                <w:sz w:val="24"/>
                <w:szCs w:val="24"/>
              </w:rPr>
            </w:pPr>
          </w:p>
        </w:tc>
        <w:tc>
          <w:tcPr>
            <w:tcW w:w="235" w:type="pct"/>
            <w:shd w:val="clear" w:color="auto" w:fill="auto"/>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 xml:space="preserve">% </w:t>
            </w:r>
          </w:p>
        </w:tc>
        <w:tc>
          <w:tcPr>
            <w:tcW w:w="949"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76.4%</w:t>
            </w:r>
          </w:p>
        </w:tc>
        <w:tc>
          <w:tcPr>
            <w:tcW w:w="905"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62.3%</w:t>
            </w:r>
          </w:p>
        </w:tc>
        <w:tc>
          <w:tcPr>
            <w:tcW w:w="904"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70.3%</w:t>
            </w:r>
          </w:p>
        </w:tc>
      </w:tr>
      <w:tr w:rsidR="00A77A8B" w:rsidRPr="00A77A8B" w:rsidTr="00A17BC2">
        <w:trPr>
          <w:trHeight w:val="300"/>
        </w:trPr>
        <w:tc>
          <w:tcPr>
            <w:tcW w:w="2007" w:type="pct"/>
            <w:vMerge w:val="restart"/>
            <w:shd w:val="clear" w:color="auto" w:fill="auto"/>
            <w:hideMark/>
          </w:tcPr>
          <w:p w:rsidR="00A77A8B" w:rsidRPr="00A77A8B" w:rsidRDefault="00A77A8B" w:rsidP="00A17BC2">
            <w:pPr>
              <w:spacing w:line="360" w:lineRule="auto"/>
              <w:jc w:val="both"/>
              <w:rPr>
                <w:rFonts w:ascii="Arial" w:eastAsia="Times New Roman" w:hAnsi="Arial" w:cs="Arial"/>
                <w:b/>
                <w:color w:val="000000"/>
                <w:sz w:val="24"/>
                <w:szCs w:val="24"/>
              </w:rPr>
            </w:pPr>
            <w:r w:rsidRPr="00A77A8B">
              <w:rPr>
                <w:rFonts w:ascii="Arial" w:eastAsia="Times New Roman" w:hAnsi="Arial" w:cs="Arial"/>
                <w:b/>
                <w:color w:val="000000"/>
                <w:sz w:val="24"/>
                <w:szCs w:val="24"/>
              </w:rPr>
              <w:t>Moderately underweight</w:t>
            </w:r>
          </w:p>
        </w:tc>
        <w:tc>
          <w:tcPr>
            <w:tcW w:w="235" w:type="pct"/>
            <w:shd w:val="clear" w:color="auto" w:fill="auto"/>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f</w:t>
            </w:r>
          </w:p>
        </w:tc>
        <w:tc>
          <w:tcPr>
            <w:tcW w:w="949"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23</w:t>
            </w:r>
          </w:p>
        </w:tc>
        <w:tc>
          <w:tcPr>
            <w:tcW w:w="905"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19</w:t>
            </w:r>
          </w:p>
        </w:tc>
        <w:tc>
          <w:tcPr>
            <w:tcW w:w="904" w:type="pct"/>
            <w:shd w:val="clear" w:color="auto" w:fill="auto"/>
            <w:noWrap/>
            <w:hideMark/>
          </w:tcPr>
          <w:p w:rsidR="00A77A8B" w:rsidRPr="00A77A8B" w:rsidRDefault="00A77A8B" w:rsidP="00A17BC2">
            <w:pPr>
              <w:spacing w:line="360" w:lineRule="auto"/>
              <w:jc w:val="both"/>
              <w:rPr>
                <w:rFonts w:ascii="Arial" w:eastAsia="Times New Roman" w:hAnsi="Arial" w:cs="Arial"/>
                <w:b/>
                <w:color w:val="000000"/>
                <w:sz w:val="24"/>
                <w:szCs w:val="24"/>
              </w:rPr>
            </w:pPr>
            <w:r w:rsidRPr="00A77A8B">
              <w:rPr>
                <w:rFonts w:ascii="Arial" w:eastAsia="Times New Roman" w:hAnsi="Arial" w:cs="Arial"/>
                <w:b/>
                <w:color w:val="000000"/>
                <w:sz w:val="24"/>
                <w:szCs w:val="24"/>
              </w:rPr>
              <w:t>42</w:t>
            </w:r>
          </w:p>
        </w:tc>
      </w:tr>
      <w:tr w:rsidR="00A77A8B" w:rsidRPr="00A77A8B" w:rsidTr="00A17BC2">
        <w:trPr>
          <w:trHeight w:val="287"/>
        </w:trPr>
        <w:tc>
          <w:tcPr>
            <w:tcW w:w="2007" w:type="pct"/>
            <w:vMerge/>
            <w:vAlign w:val="center"/>
            <w:hideMark/>
          </w:tcPr>
          <w:p w:rsidR="00A77A8B" w:rsidRPr="00A77A8B" w:rsidRDefault="00A77A8B" w:rsidP="00A17BC2">
            <w:pPr>
              <w:spacing w:line="360" w:lineRule="auto"/>
              <w:jc w:val="both"/>
              <w:rPr>
                <w:rFonts w:ascii="Arial" w:eastAsia="Times New Roman" w:hAnsi="Arial" w:cs="Arial"/>
                <w:b/>
                <w:bCs/>
                <w:color w:val="000000"/>
                <w:sz w:val="24"/>
                <w:szCs w:val="24"/>
              </w:rPr>
            </w:pPr>
          </w:p>
        </w:tc>
        <w:tc>
          <w:tcPr>
            <w:tcW w:w="235" w:type="pct"/>
            <w:shd w:val="clear" w:color="auto" w:fill="auto"/>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 xml:space="preserve">% </w:t>
            </w:r>
          </w:p>
        </w:tc>
        <w:tc>
          <w:tcPr>
            <w:tcW w:w="949"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16.4%</w:t>
            </w:r>
          </w:p>
        </w:tc>
        <w:tc>
          <w:tcPr>
            <w:tcW w:w="905"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17.9%</w:t>
            </w:r>
          </w:p>
        </w:tc>
        <w:tc>
          <w:tcPr>
            <w:tcW w:w="904" w:type="pct"/>
            <w:shd w:val="clear" w:color="auto" w:fill="auto"/>
            <w:noWrap/>
            <w:hideMark/>
          </w:tcPr>
          <w:p w:rsidR="00A77A8B" w:rsidRPr="00A77A8B" w:rsidRDefault="00A77A8B" w:rsidP="00A17BC2">
            <w:pPr>
              <w:spacing w:line="360" w:lineRule="auto"/>
              <w:jc w:val="both"/>
              <w:rPr>
                <w:rFonts w:ascii="Arial" w:eastAsia="Times New Roman" w:hAnsi="Arial" w:cs="Arial"/>
                <w:b/>
                <w:color w:val="000000"/>
                <w:sz w:val="24"/>
                <w:szCs w:val="24"/>
              </w:rPr>
            </w:pPr>
            <w:r w:rsidRPr="00A77A8B">
              <w:rPr>
                <w:rFonts w:ascii="Arial" w:eastAsia="Times New Roman" w:hAnsi="Arial" w:cs="Arial"/>
                <w:b/>
                <w:color w:val="000000"/>
                <w:sz w:val="24"/>
                <w:szCs w:val="24"/>
              </w:rPr>
              <w:t>17.1%</w:t>
            </w:r>
          </w:p>
        </w:tc>
      </w:tr>
      <w:tr w:rsidR="00A77A8B" w:rsidRPr="00A77A8B" w:rsidTr="00A17BC2">
        <w:trPr>
          <w:trHeight w:val="300"/>
        </w:trPr>
        <w:tc>
          <w:tcPr>
            <w:tcW w:w="2007" w:type="pct"/>
            <w:vMerge w:val="restart"/>
            <w:shd w:val="clear" w:color="auto" w:fill="auto"/>
            <w:hideMark/>
          </w:tcPr>
          <w:p w:rsidR="00A77A8B" w:rsidRPr="00A77A8B" w:rsidRDefault="00A77A8B" w:rsidP="00A17BC2">
            <w:pPr>
              <w:spacing w:line="360" w:lineRule="auto"/>
              <w:jc w:val="both"/>
              <w:rPr>
                <w:rFonts w:ascii="Arial" w:eastAsia="Times New Roman" w:hAnsi="Arial" w:cs="Arial"/>
                <w:b/>
                <w:color w:val="000000"/>
                <w:sz w:val="24"/>
                <w:szCs w:val="24"/>
              </w:rPr>
            </w:pPr>
            <w:r w:rsidRPr="00A77A8B">
              <w:rPr>
                <w:rFonts w:ascii="Arial" w:eastAsia="Times New Roman" w:hAnsi="Arial" w:cs="Arial"/>
                <w:b/>
                <w:color w:val="000000"/>
                <w:sz w:val="24"/>
                <w:szCs w:val="24"/>
              </w:rPr>
              <w:t>Severely underweight</w:t>
            </w:r>
          </w:p>
        </w:tc>
        <w:tc>
          <w:tcPr>
            <w:tcW w:w="235" w:type="pct"/>
            <w:shd w:val="clear" w:color="auto" w:fill="auto"/>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f</w:t>
            </w:r>
          </w:p>
        </w:tc>
        <w:tc>
          <w:tcPr>
            <w:tcW w:w="949"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4</w:t>
            </w:r>
          </w:p>
        </w:tc>
        <w:tc>
          <w:tcPr>
            <w:tcW w:w="905"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8</w:t>
            </w:r>
          </w:p>
        </w:tc>
        <w:tc>
          <w:tcPr>
            <w:tcW w:w="904" w:type="pct"/>
            <w:shd w:val="clear" w:color="auto" w:fill="auto"/>
            <w:noWrap/>
            <w:hideMark/>
          </w:tcPr>
          <w:p w:rsidR="00A77A8B" w:rsidRPr="00A77A8B" w:rsidRDefault="00A77A8B" w:rsidP="00A17BC2">
            <w:pPr>
              <w:spacing w:line="360" w:lineRule="auto"/>
              <w:jc w:val="both"/>
              <w:rPr>
                <w:rFonts w:ascii="Arial" w:eastAsia="Times New Roman" w:hAnsi="Arial" w:cs="Arial"/>
                <w:b/>
                <w:color w:val="000000"/>
                <w:sz w:val="24"/>
                <w:szCs w:val="24"/>
              </w:rPr>
            </w:pPr>
            <w:r w:rsidRPr="00A77A8B">
              <w:rPr>
                <w:rFonts w:ascii="Arial" w:eastAsia="Times New Roman" w:hAnsi="Arial" w:cs="Arial"/>
                <w:b/>
                <w:color w:val="000000"/>
                <w:sz w:val="24"/>
                <w:szCs w:val="24"/>
              </w:rPr>
              <w:t>12</w:t>
            </w:r>
          </w:p>
        </w:tc>
      </w:tr>
      <w:tr w:rsidR="00A77A8B" w:rsidRPr="00A77A8B" w:rsidTr="00A17BC2">
        <w:trPr>
          <w:trHeight w:val="332"/>
        </w:trPr>
        <w:tc>
          <w:tcPr>
            <w:tcW w:w="2007" w:type="pct"/>
            <w:vMerge/>
            <w:vAlign w:val="center"/>
            <w:hideMark/>
          </w:tcPr>
          <w:p w:rsidR="00A77A8B" w:rsidRPr="00A77A8B" w:rsidRDefault="00A77A8B" w:rsidP="00A17BC2">
            <w:pPr>
              <w:spacing w:line="360" w:lineRule="auto"/>
              <w:jc w:val="both"/>
              <w:rPr>
                <w:rFonts w:ascii="Arial" w:eastAsia="Times New Roman" w:hAnsi="Arial" w:cs="Arial"/>
                <w:b/>
                <w:bCs/>
                <w:color w:val="000000"/>
                <w:sz w:val="24"/>
                <w:szCs w:val="24"/>
              </w:rPr>
            </w:pPr>
          </w:p>
        </w:tc>
        <w:tc>
          <w:tcPr>
            <w:tcW w:w="235" w:type="pct"/>
            <w:shd w:val="clear" w:color="auto" w:fill="auto"/>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w:t>
            </w:r>
          </w:p>
        </w:tc>
        <w:tc>
          <w:tcPr>
            <w:tcW w:w="949"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2.9%</w:t>
            </w:r>
          </w:p>
        </w:tc>
        <w:tc>
          <w:tcPr>
            <w:tcW w:w="905"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7.5%</w:t>
            </w:r>
          </w:p>
        </w:tc>
        <w:tc>
          <w:tcPr>
            <w:tcW w:w="904" w:type="pct"/>
            <w:shd w:val="clear" w:color="auto" w:fill="auto"/>
            <w:noWrap/>
            <w:hideMark/>
          </w:tcPr>
          <w:p w:rsidR="00A77A8B" w:rsidRPr="00A77A8B" w:rsidRDefault="00A77A8B" w:rsidP="00A17BC2">
            <w:pPr>
              <w:spacing w:line="360" w:lineRule="auto"/>
              <w:jc w:val="both"/>
              <w:rPr>
                <w:rFonts w:ascii="Arial" w:eastAsia="Times New Roman" w:hAnsi="Arial" w:cs="Arial"/>
                <w:b/>
                <w:color w:val="000000"/>
                <w:sz w:val="24"/>
                <w:szCs w:val="24"/>
              </w:rPr>
            </w:pPr>
            <w:r w:rsidRPr="00A77A8B">
              <w:rPr>
                <w:rFonts w:ascii="Arial" w:eastAsia="Times New Roman" w:hAnsi="Arial" w:cs="Arial"/>
                <w:b/>
                <w:color w:val="000000"/>
                <w:sz w:val="24"/>
                <w:szCs w:val="24"/>
              </w:rPr>
              <w:t>4.9%</w:t>
            </w:r>
          </w:p>
        </w:tc>
      </w:tr>
      <w:tr w:rsidR="00A77A8B" w:rsidRPr="00A77A8B" w:rsidTr="00A17BC2">
        <w:trPr>
          <w:trHeight w:val="300"/>
        </w:trPr>
        <w:tc>
          <w:tcPr>
            <w:tcW w:w="2007" w:type="pct"/>
            <w:vMerge w:val="restart"/>
            <w:shd w:val="clear" w:color="auto" w:fill="auto"/>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Overweight</w:t>
            </w:r>
          </w:p>
        </w:tc>
        <w:tc>
          <w:tcPr>
            <w:tcW w:w="235" w:type="pct"/>
            <w:shd w:val="clear" w:color="auto" w:fill="auto"/>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f</w:t>
            </w:r>
          </w:p>
        </w:tc>
        <w:tc>
          <w:tcPr>
            <w:tcW w:w="949"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6</w:t>
            </w:r>
          </w:p>
        </w:tc>
        <w:tc>
          <w:tcPr>
            <w:tcW w:w="905"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13</w:t>
            </w:r>
          </w:p>
        </w:tc>
        <w:tc>
          <w:tcPr>
            <w:tcW w:w="904"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19</w:t>
            </w:r>
          </w:p>
        </w:tc>
      </w:tr>
      <w:tr w:rsidR="00A77A8B" w:rsidRPr="00A77A8B" w:rsidTr="00A17BC2">
        <w:trPr>
          <w:trHeight w:val="377"/>
        </w:trPr>
        <w:tc>
          <w:tcPr>
            <w:tcW w:w="2007" w:type="pct"/>
            <w:vMerge/>
            <w:vAlign w:val="center"/>
            <w:hideMark/>
          </w:tcPr>
          <w:p w:rsidR="00A77A8B" w:rsidRPr="00A77A8B" w:rsidRDefault="00A77A8B" w:rsidP="00A17BC2">
            <w:pPr>
              <w:spacing w:line="360" w:lineRule="auto"/>
              <w:jc w:val="both"/>
              <w:rPr>
                <w:rFonts w:ascii="Arial" w:eastAsia="Times New Roman" w:hAnsi="Arial" w:cs="Arial"/>
                <w:b/>
                <w:bCs/>
                <w:color w:val="000000"/>
                <w:sz w:val="24"/>
                <w:szCs w:val="24"/>
              </w:rPr>
            </w:pPr>
          </w:p>
        </w:tc>
        <w:tc>
          <w:tcPr>
            <w:tcW w:w="235" w:type="pct"/>
            <w:shd w:val="clear" w:color="auto" w:fill="auto"/>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 xml:space="preserve">% </w:t>
            </w:r>
          </w:p>
        </w:tc>
        <w:tc>
          <w:tcPr>
            <w:tcW w:w="949"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2.9%</w:t>
            </w:r>
          </w:p>
        </w:tc>
        <w:tc>
          <w:tcPr>
            <w:tcW w:w="905"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8.5%</w:t>
            </w:r>
          </w:p>
        </w:tc>
        <w:tc>
          <w:tcPr>
            <w:tcW w:w="904" w:type="pct"/>
            <w:shd w:val="clear" w:color="auto" w:fill="auto"/>
            <w:noWrap/>
            <w:hideMark/>
          </w:tcPr>
          <w:p w:rsidR="00A77A8B" w:rsidRPr="00A77A8B" w:rsidRDefault="00A77A8B" w:rsidP="00A17BC2">
            <w:pPr>
              <w:spacing w:line="360" w:lineRule="auto"/>
              <w:jc w:val="both"/>
              <w:rPr>
                <w:rFonts w:ascii="Arial" w:eastAsia="Times New Roman" w:hAnsi="Arial" w:cs="Arial"/>
                <w:color w:val="000000"/>
                <w:sz w:val="24"/>
                <w:szCs w:val="24"/>
              </w:rPr>
            </w:pPr>
            <w:r w:rsidRPr="00A77A8B">
              <w:rPr>
                <w:rFonts w:ascii="Arial" w:eastAsia="Times New Roman" w:hAnsi="Arial" w:cs="Arial"/>
                <w:color w:val="000000"/>
                <w:sz w:val="24"/>
                <w:szCs w:val="24"/>
              </w:rPr>
              <w:t>7.7%</w:t>
            </w:r>
          </w:p>
        </w:tc>
      </w:tr>
    </w:tbl>
    <w:p w:rsidR="00A77A8B" w:rsidRDefault="00A77A8B" w:rsidP="00A77A8B">
      <w:pPr>
        <w:rPr>
          <w:rFonts w:ascii="Arial" w:eastAsia="Arial" w:hAnsi="Arial" w:cs="Arial"/>
          <w:i/>
          <w:iCs/>
          <w:sz w:val="24"/>
          <w:szCs w:val="24"/>
        </w:rPr>
      </w:pPr>
    </w:p>
    <w:p w:rsidR="00246985" w:rsidRDefault="00246985" w:rsidP="00F96342">
      <w:pPr>
        <w:ind w:left="500"/>
        <w:rPr>
          <w:rFonts w:ascii="Arial" w:eastAsia="Arial" w:hAnsi="Arial" w:cs="Arial"/>
          <w:i/>
          <w:iCs/>
          <w:sz w:val="24"/>
          <w:szCs w:val="24"/>
        </w:rPr>
      </w:pPr>
    </w:p>
    <w:p w:rsidR="00F96342" w:rsidRDefault="005F2AEF" w:rsidP="00F96342">
      <w:pPr>
        <w:ind w:left="500"/>
        <w:rPr>
          <w:sz w:val="20"/>
          <w:szCs w:val="20"/>
        </w:rPr>
      </w:pPr>
      <w:r>
        <w:rPr>
          <w:rFonts w:ascii="Arial" w:eastAsia="Arial" w:hAnsi="Arial" w:cs="Arial"/>
          <w:i/>
          <w:iCs/>
          <w:sz w:val="24"/>
          <w:szCs w:val="24"/>
        </w:rPr>
        <w:t>6.4</w:t>
      </w:r>
      <w:r w:rsidR="00F96342">
        <w:rPr>
          <w:rFonts w:ascii="Arial" w:eastAsia="Arial" w:hAnsi="Arial" w:cs="Arial"/>
          <w:i/>
          <w:iCs/>
          <w:sz w:val="24"/>
          <w:szCs w:val="24"/>
        </w:rPr>
        <w:t xml:space="preserve"> Determinants of malnutrition among the infants</w:t>
      </w:r>
    </w:p>
    <w:p w:rsidR="00F96342" w:rsidRDefault="00F96342">
      <w:pPr>
        <w:spacing w:line="242" w:lineRule="auto"/>
        <w:ind w:left="140" w:right="20"/>
        <w:jc w:val="both"/>
        <w:rPr>
          <w:sz w:val="20"/>
          <w:szCs w:val="20"/>
        </w:rPr>
      </w:pPr>
    </w:p>
    <w:p w:rsidR="00246985" w:rsidRPr="00246985" w:rsidRDefault="00246985" w:rsidP="00246985">
      <w:pPr>
        <w:spacing w:line="242" w:lineRule="auto"/>
        <w:ind w:left="140" w:right="20"/>
        <w:jc w:val="both"/>
        <w:rPr>
          <w:b/>
          <w:bCs/>
          <w:sz w:val="20"/>
          <w:szCs w:val="20"/>
        </w:rPr>
      </w:pPr>
    </w:p>
    <w:p w:rsidR="00246985" w:rsidRPr="00246985" w:rsidRDefault="005F2AEF" w:rsidP="00246985">
      <w:pPr>
        <w:spacing w:line="242" w:lineRule="auto"/>
        <w:ind w:left="140" w:right="20"/>
        <w:jc w:val="both"/>
        <w:rPr>
          <w:b/>
          <w:bCs/>
          <w:sz w:val="20"/>
          <w:szCs w:val="20"/>
        </w:rPr>
      </w:pPr>
      <w:bookmarkStart w:id="1" w:name="_Toc17966809"/>
      <w:r>
        <w:rPr>
          <w:b/>
          <w:bCs/>
          <w:sz w:val="20"/>
          <w:szCs w:val="20"/>
        </w:rPr>
        <w:t>6.4.1</w:t>
      </w:r>
      <w:r w:rsidR="00246985" w:rsidRPr="00246985">
        <w:rPr>
          <w:b/>
          <w:bCs/>
          <w:sz w:val="20"/>
          <w:szCs w:val="20"/>
        </w:rPr>
        <w:t xml:space="preserve"> Relationship between Meal Frequency and Nutritional Status</w:t>
      </w:r>
      <w:bookmarkEnd w:id="1"/>
    </w:p>
    <w:p w:rsidR="00F96342" w:rsidRDefault="00246985" w:rsidP="005F2AEF">
      <w:pPr>
        <w:spacing w:line="242" w:lineRule="auto"/>
        <w:ind w:left="140" w:right="20"/>
        <w:jc w:val="both"/>
        <w:rPr>
          <w:sz w:val="20"/>
          <w:szCs w:val="20"/>
        </w:rPr>
      </w:pPr>
      <w:r w:rsidRPr="00246985">
        <w:rPr>
          <w:sz w:val="20"/>
          <w:szCs w:val="20"/>
        </w:rPr>
        <w:t xml:space="preserve">In this study, the three indices (underweight, wasting and stunting) showed a significant relationship with meal frequency (p- value 0.00, 0.000 and 0.011 respectively). </w:t>
      </w:r>
    </w:p>
    <w:p w:rsidR="00246985" w:rsidRPr="00246985" w:rsidRDefault="005F2AEF" w:rsidP="00246985">
      <w:pPr>
        <w:spacing w:line="242" w:lineRule="auto"/>
        <w:ind w:left="140" w:right="20"/>
        <w:jc w:val="both"/>
        <w:rPr>
          <w:b/>
          <w:bCs/>
          <w:sz w:val="20"/>
          <w:szCs w:val="20"/>
        </w:rPr>
      </w:pPr>
      <w:bookmarkStart w:id="2" w:name="_Toc9667581"/>
      <w:bookmarkStart w:id="3" w:name="_Toc9671217"/>
      <w:bookmarkStart w:id="4" w:name="_Toc17966810"/>
      <w:r>
        <w:rPr>
          <w:b/>
          <w:bCs/>
          <w:sz w:val="20"/>
          <w:szCs w:val="20"/>
        </w:rPr>
        <w:t>6.4.2</w:t>
      </w:r>
      <w:r w:rsidR="00246985" w:rsidRPr="00246985">
        <w:rPr>
          <w:b/>
          <w:bCs/>
          <w:sz w:val="20"/>
          <w:szCs w:val="20"/>
        </w:rPr>
        <w:t xml:space="preserve"> Relationship between Dietary Diversity and Nutritional Status</w:t>
      </w:r>
      <w:bookmarkEnd w:id="2"/>
      <w:bookmarkEnd w:id="3"/>
      <w:bookmarkEnd w:id="4"/>
    </w:p>
    <w:p w:rsidR="00246985" w:rsidRPr="00246985" w:rsidRDefault="00246985" w:rsidP="00246985">
      <w:pPr>
        <w:spacing w:line="242" w:lineRule="auto"/>
        <w:ind w:left="140" w:right="20"/>
        <w:jc w:val="both"/>
        <w:rPr>
          <w:sz w:val="20"/>
          <w:szCs w:val="20"/>
        </w:rPr>
      </w:pPr>
      <w:r w:rsidRPr="00246985">
        <w:rPr>
          <w:sz w:val="20"/>
          <w:szCs w:val="20"/>
        </w:rPr>
        <w:t>There was no significant relationship between dietary diversity and nutritional status based on underweight, wasting and stunting. Most infants were still breastfeeding but met the recommended 4</w:t>
      </w:r>
      <w:r w:rsidR="005F2AEF">
        <w:rPr>
          <w:sz w:val="20"/>
          <w:szCs w:val="20"/>
        </w:rPr>
        <w:t xml:space="preserve"> or more food groups </w:t>
      </w:r>
    </w:p>
    <w:p w:rsidR="00246985" w:rsidRPr="00246985" w:rsidRDefault="005F2AEF" w:rsidP="00246985">
      <w:pPr>
        <w:spacing w:line="242" w:lineRule="auto"/>
        <w:ind w:left="140" w:right="20"/>
        <w:jc w:val="both"/>
        <w:rPr>
          <w:b/>
          <w:bCs/>
          <w:sz w:val="20"/>
          <w:szCs w:val="20"/>
        </w:rPr>
      </w:pPr>
      <w:bookmarkStart w:id="5" w:name="_Toc9667582"/>
      <w:bookmarkStart w:id="6" w:name="_Toc9671218"/>
      <w:bookmarkStart w:id="7" w:name="_Toc17966811"/>
      <w:r>
        <w:rPr>
          <w:b/>
          <w:bCs/>
          <w:sz w:val="20"/>
          <w:szCs w:val="20"/>
        </w:rPr>
        <w:t>6.4.3</w:t>
      </w:r>
      <w:r w:rsidR="00246985" w:rsidRPr="00246985">
        <w:rPr>
          <w:b/>
          <w:bCs/>
          <w:sz w:val="20"/>
          <w:szCs w:val="20"/>
        </w:rPr>
        <w:t xml:space="preserve"> Relationship between exclusive breastfeeding and nutritional status</w:t>
      </w:r>
      <w:bookmarkEnd w:id="5"/>
      <w:bookmarkEnd w:id="6"/>
      <w:bookmarkEnd w:id="7"/>
    </w:p>
    <w:p w:rsidR="00246985" w:rsidRDefault="00246985" w:rsidP="00246985">
      <w:pPr>
        <w:spacing w:line="242" w:lineRule="auto"/>
        <w:ind w:left="140" w:right="20"/>
        <w:jc w:val="both"/>
        <w:rPr>
          <w:sz w:val="20"/>
          <w:szCs w:val="20"/>
        </w:rPr>
      </w:pPr>
      <w:r w:rsidRPr="00246985">
        <w:rPr>
          <w:sz w:val="20"/>
          <w:szCs w:val="20"/>
        </w:rPr>
        <w:t>There was a significant relationship between exclusive breastfeeding and nutritional status based on underweight, wasting and stunting. Most infants (50%) were exclusively breastfed for a period of six months (chi-squ</w:t>
      </w:r>
      <w:r w:rsidR="005F2AEF">
        <w:rPr>
          <w:sz w:val="20"/>
          <w:szCs w:val="20"/>
        </w:rPr>
        <w:t xml:space="preserve">are test; p = 0.000) </w:t>
      </w:r>
    </w:p>
    <w:p w:rsidR="005F2AEF" w:rsidRDefault="005F2AEF" w:rsidP="00246985">
      <w:pPr>
        <w:spacing w:line="242" w:lineRule="auto"/>
        <w:ind w:left="140" w:right="20"/>
        <w:jc w:val="both"/>
        <w:rPr>
          <w:sz w:val="20"/>
          <w:szCs w:val="20"/>
        </w:rPr>
      </w:pPr>
    </w:p>
    <w:p w:rsidR="005F2AEF" w:rsidRPr="005F2AEF" w:rsidRDefault="005F2AEF" w:rsidP="005F2AEF">
      <w:pPr>
        <w:spacing w:line="242" w:lineRule="auto"/>
        <w:ind w:left="140" w:right="20"/>
        <w:jc w:val="both"/>
        <w:rPr>
          <w:b/>
          <w:bCs/>
          <w:sz w:val="20"/>
          <w:szCs w:val="20"/>
        </w:rPr>
      </w:pPr>
      <w:bookmarkStart w:id="8" w:name="_Toc17966812"/>
      <w:r>
        <w:rPr>
          <w:b/>
          <w:bCs/>
          <w:sz w:val="20"/>
          <w:szCs w:val="20"/>
        </w:rPr>
        <w:t>6.4.4</w:t>
      </w:r>
      <w:r w:rsidRPr="005F2AEF">
        <w:rPr>
          <w:b/>
          <w:bCs/>
          <w:sz w:val="20"/>
          <w:szCs w:val="20"/>
        </w:rPr>
        <w:t xml:space="preserve"> Relationships between Morbidity and Nutritional Status</w:t>
      </w:r>
      <w:bookmarkEnd w:id="8"/>
    </w:p>
    <w:p w:rsidR="005F2AEF" w:rsidRPr="005F2AEF" w:rsidRDefault="005F2AEF" w:rsidP="005F2AEF">
      <w:pPr>
        <w:spacing w:line="242" w:lineRule="auto"/>
        <w:ind w:left="140" w:right="20"/>
        <w:jc w:val="both"/>
        <w:rPr>
          <w:sz w:val="20"/>
          <w:szCs w:val="20"/>
        </w:rPr>
      </w:pPr>
      <w:r w:rsidRPr="005F2AEF">
        <w:rPr>
          <w:sz w:val="20"/>
          <w:szCs w:val="20"/>
        </w:rPr>
        <w:t>Illness affects feeding practices thus causing the depletion of the nutrition status. The decreased intake of the food is as a result of the illness which causes lack of appetite. A paired t-test showed that there were an association of child illness two weeks to the study and underweight (χ</w:t>
      </w:r>
      <w:r w:rsidRPr="005F2AEF">
        <w:rPr>
          <w:sz w:val="20"/>
          <w:szCs w:val="20"/>
          <w:vertAlign w:val="superscript"/>
        </w:rPr>
        <w:t>2</w:t>
      </w:r>
      <w:r w:rsidRPr="005F2AEF">
        <w:rPr>
          <w:sz w:val="20"/>
          <w:szCs w:val="20"/>
        </w:rPr>
        <w:t>=43.409, P=0.001, df=32), stunting (χ</w:t>
      </w:r>
      <w:r w:rsidRPr="005F2AEF">
        <w:rPr>
          <w:sz w:val="20"/>
          <w:szCs w:val="20"/>
          <w:vertAlign w:val="superscript"/>
        </w:rPr>
        <w:t>2</w:t>
      </w:r>
      <w:r w:rsidRPr="005F2AEF">
        <w:rPr>
          <w:sz w:val="20"/>
          <w:szCs w:val="20"/>
        </w:rPr>
        <w:t>=34.515, P=0.005, df=16) and wasting (χ</w:t>
      </w:r>
      <w:r w:rsidRPr="005F2AEF">
        <w:rPr>
          <w:sz w:val="20"/>
          <w:szCs w:val="20"/>
          <w:vertAlign w:val="superscript"/>
        </w:rPr>
        <w:t>2</w:t>
      </w:r>
      <w:r w:rsidRPr="005F2AEF">
        <w:rPr>
          <w:sz w:val="20"/>
          <w:szCs w:val="20"/>
        </w:rPr>
        <w:t>=27.012, P=0.041, df=16).</w:t>
      </w:r>
    </w:p>
    <w:p w:rsidR="005F2AEF" w:rsidRDefault="005F2AEF" w:rsidP="005F2AEF">
      <w:pPr>
        <w:spacing w:line="242" w:lineRule="auto"/>
        <w:ind w:left="140" w:right="20"/>
        <w:jc w:val="both"/>
        <w:rPr>
          <w:b/>
          <w:bCs/>
          <w:sz w:val="20"/>
          <w:szCs w:val="20"/>
        </w:rPr>
      </w:pPr>
      <w:bookmarkStart w:id="9" w:name="_Toc17966813"/>
    </w:p>
    <w:p w:rsidR="005F2AEF" w:rsidRPr="005F2AEF" w:rsidRDefault="005F2AEF" w:rsidP="005F2AEF">
      <w:pPr>
        <w:spacing w:line="242" w:lineRule="auto"/>
        <w:ind w:left="140" w:right="20"/>
        <w:jc w:val="both"/>
        <w:rPr>
          <w:b/>
          <w:bCs/>
          <w:sz w:val="20"/>
          <w:szCs w:val="20"/>
        </w:rPr>
      </w:pPr>
      <w:r>
        <w:rPr>
          <w:b/>
          <w:bCs/>
          <w:sz w:val="20"/>
          <w:szCs w:val="20"/>
        </w:rPr>
        <w:t>6.4.5</w:t>
      </w:r>
      <w:r w:rsidRPr="005F2AEF">
        <w:rPr>
          <w:b/>
          <w:bCs/>
          <w:sz w:val="20"/>
          <w:szCs w:val="20"/>
        </w:rPr>
        <w:t xml:space="preserve"> Relationships between demographic information and Nutrition Status</w:t>
      </w:r>
      <w:bookmarkEnd w:id="9"/>
    </w:p>
    <w:p w:rsidR="00246985" w:rsidRDefault="005F2AEF" w:rsidP="00FA5E09">
      <w:pPr>
        <w:spacing w:line="242" w:lineRule="auto"/>
        <w:ind w:left="140" w:right="20"/>
        <w:jc w:val="both"/>
        <w:rPr>
          <w:sz w:val="20"/>
          <w:szCs w:val="20"/>
        </w:rPr>
      </w:pPr>
      <w:r w:rsidRPr="005F2AEF">
        <w:rPr>
          <w:sz w:val="20"/>
          <w:szCs w:val="20"/>
        </w:rPr>
        <w:t>Young maternal age, maternal education level and marital status play a very crucial in infant nutrition status according to (Islam et al., 2016). There was no relationship between mother’s age, education level, marital status and the child’s nutrition status. All the three forms of malnutrition did not show a significant relationship with education (P&gt;0.05)</w:t>
      </w:r>
      <w:r>
        <w:rPr>
          <w:sz w:val="20"/>
          <w:szCs w:val="20"/>
        </w:rPr>
        <w:t xml:space="preserve"> </w:t>
      </w:r>
    </w:p>
    <w:p w:rsidR="00246985" w:rsidRDefault="00246985">
      <w:pPr>
        <w:spacing w:line="200" w:lineRule="exact"/>
        <w:rPr>
          <w:sz w:val="20"/>
          <w:szCs w:val="20"/>
        </w:rPr>
      </w:pPr>
    </w:p>
    <w:p w:rsidR="00C322FF" w:rsidRDefault="00C322FF">
      <w:pPr>
        <w:spacing w:line="236" w:lineRule="exact"/>
        <w:rPr>
          <w:sz w:val="20"/>
          <w:szCs w:val="20"/>
        </w:rPr>
      </w:pPr>
    </w:p>
    <w:p w:rsidR="00C322FF" w:rsidRDefault="00B77746">
      <w:pPr>
        <w:ind w:left="140"/>
        <w:rPr>
          <w:sz w:val="20"/>
          <w:szCs w:val="20"/>
        </w:rPr>
      </w:pPr>
      <w:r>
        <w:rPr>
          <w:rFonts w:ascii="Arial" w:eastAsia="Arial" w:hAnsi="Arial" w:cs="Arial"/>
          <w:b/>
          <w:bCs/>
          <w:sz w:val="28"/>
          <w:szCs w:val="28"/>
        </w:rPr>
        <w:t>7. Recommendations and Areas for further study</w:t>
      </w:r>
    </w:p>
    <w:p w:rsidR="00C322FF" w:rsidRDefault="00C322FF">
      <w:pPr>
        <w:spacing w:line="369" w:lineRule="exact"/>
        <w:rPr>
          <w:sz w:val="20"/>
          <w:szCs w:val="20"/>
        </w:rPr>
      </w:pPr>
    </w:p>
    <w:p w:rsidR="00C322FF" w:rsidRDefault="00B77746">
      <w:pPr>
        <w:ind w:left="500"/>
        <w:rPr>
          <w:sz w:val="20"/>
          <w:szCs w:val="20"/>
        </w:rPr>
      </w:pPr>
      <w:r>
        <w:rPr>
          <w:rFonts w:ascii="Arial" w:eastAsia="Arial" w:hAnsi="Arial" w:cs="Arial"/>
          <w:i/>
          <w:iCs/>
          <w:sz w:val="24"/>
          <w:szCs w:val="24"/>
        </w:rPr>
        <w:t xml:space="preserve">7.1 </w:t>
      </w:r>
      <w:r w:rsidR="00C603B8">
        <w:rPr>
          <w:rFonts w:ascii="Arial" w:eastAsia="Arial" w:hAnsi="Arial" w:cs="Arial"/>
          <w:i/>
          <w:iCs/>
          <w:sz w:val="24"/>
          <w:szCs w:val="24"/>
        </w:rPr>
        <w:t xml:space="preserve">Policy </w:t>
      </w:r>
      <w:r>
        <w:rPr>
          <w:rFonts w:ascii="Arial" w:eastAsia="Arial" w:hAnsi="Arial" w:cs="Arial"/>
          <w:i/>
          <w:iCs/>
          <w:sz w:val="24"/>
          <w:szCs w:val="24"/>
        </w:rPr>
        <w:t>Recommendations</w:t>
      </w:r>
    </w:p>
    <w:p w:rsidR="00C322FF" w:rsidRDefault="00C322FF">
      <w:pPr>
        <w:spacing w:line="234" w:lineRule="exact"/>
        <w:rPr>
          <w:sz w:val="20"/>
          <w:szCs w:val="20"/>
        </w:rPr>
      </w:pPr>
    </w:p>
    <w:p w:rsidR="00C603B8" w:rsidRPr="00C603B8" w:rsidRDefault="00C603B8" w:rsidP="00C603B8">
      <w:pPr>
        <w:numPr>
          <w:ilvl w:val="0"/>
          <w:numId w:val="10"/>
        </w:numPr>
        <w:spacing w:line="276" w:lineRule="auto"/>
        <w:rPr>
          <w:rFonts w:ascii="Arial" w:eastAsia="Arial" w:hAnsi="Arial" w:cs="Arial"/>
          <w:bCs/>
          <w:sz w:val="24"/>
          <w:szCs w:val="24"/>
        </w:rPr>
      </w:pPr>
      <w:r w:rsidRPr="00C603B8">
        <w:rPr>
          <w:rFonts w:ascii="Arial" w:eastAsia="Arial" w:hAnsi="Arial" w:cs="Arial"/>
          <w:bCs/>
          <w:sz w:val="24"/>
          <w:szCs w:val="24"/>
        </w:rPr>
        <w:t xml:space="preserve">The Ministry of Health to categorize infants belonging to adolescent mothers among children under special circumstances and accord them the necessary provisions provided for the children under such circumstances. </w:t>
      </w:r>
    </w:p>
    <w:p w:rsidR="00C603B8" w:rsidRPr="00C603B8" w:rsidRDefault="00C603B8" w:rsidP="00C603B8">
      <w:pPr>
        <w:numPr>
          <w:ilvl w:val="0"/>
          <w:numId w:val="10"/>
        </w:numPr>
        <w:spacing w:line="276" w:lineRule="auto"/>
        <w:rPr>
          <w:rFonts w:ascii="Arial" w:eastAsia="Arial" w:hAnsi="Arial" w:cs="Arial"/>
          <w:bCs/>
          <w:sz w:val="24"/>
          <w:szCs w:val="24"/>
        </w:rPr>
      </w:pPr>
      <w:r w:rsidRPr="00C603B8">
        <w:rPr>
          <w:rFonts w:ascii="Arial" w:eastAsia="Arial" w:hAnsi="Arial" w:cs="Arial"/>
          <w:bCs/>
          <w:sz w:val="24"/>
          <w:szCs w:val="24"/>
        </w:rPr>
        <w:t>This can be done by adopting a family approach that focuses on creating awareness not just for adolescent mothers, but also for fathers and mothers-in-law who are strong household influencers of infant feeding behavior. This will help to curb the challenge of early introduction of pre-lacteal foods.</w:t>
      </w:r>
    </w:p>
    <w:p w:rsidR="00C603B8" w:rsidRPr="00C603B8" w:rsidRDefault="00C603B8" w:rsidP="00C603B8">
      <w:pPr>
        <w:numPr>
          <w:ilvl w:val="0"/>
          <w:numId w:val="10"/>
        </w:numPr>
        <w:spacing w:line="276" w:lineRule="auto"/>
        <w:rPr>
          <w:rFonts w:ascii="Arial" w:eastAsia="Arial" w:hAnsi="Arial" w:cs="Arial"/>
          <w:bCs/>
          <w:sz w:val="24"/>
          <w:szCs w:val="24"/>
        </w:rPr>
      </w:pPr>
      <w:r w:rsidRPr="00C603B8">
        <w:rPr>
          <w:rFonts w:ascii="Arial" w:eastAsia="Arial" w:hAnsi="Arial" w:cs="Arial"/>
          <w:bCs/>
          <w:sz w:val="24"/>
          <w:szCs w:val="24"/>
        </w:rPr>
        <w:t>In order to contribute to improved health and nutrition for the infants in the study area, support groups should be strengthened that provide peer counseling with a focus on promoting, protecting and supporting breastfeeding.</w:t>
      </w:r>
    </w:p>
    <w:p w:rsidR="00C603B8" w:rsidRPr="00C603B8" w:rsidRDefault="00C603B8" w:rsidP="00C603B8">
      <w:pPr>
        <w:numPr>
          <w:ilvl w:val="0"/>
          <w:numId w:val="10"/>
        </w:numPr>
        <w:spacing w:line="276" w:lineRule="auto"/>
        <w:rPr>
          <w:rFonts w:ascii="Arial" w:eastAsia="Arial" w:hAnsi="Arial" w:cs="Arial"/>
          <w:bCs/>
          <w:sz w:val="24"/>
          <w:szCs w:val="24"/>
        </w:rPr>
      </w:pPr>
      <w:r w:rsidRPr="00C603B8">
        <w:rPr>
          <w:rFonts w:ascii="Arial" w:eastAsia="Arial" w:hAnsi="Arial" w:cs="Arial"/>
          <w:bCs/>
          <w:sz w:val="24"/>
          <w:szCs w:val="24"/>
        </w:rPr>
        <w:t>The Ministry of Health should provide ongoing training of the community and especially young mothers on IYCF. This will acquaint them with knowledge and skills to provide IYCF education and support to adolescent mothers in the study area and contribute to improved uptake of exclusive breastfeeding.</w:t>
      </w:r>
    </w:p>
    <w:p w:rsidR="00C603B8" w:rsidRPr="00C603B8" w:rsidRDefault="00C603B8" w:rsidP="00C603B8">
      <w:pPr>
        <w:numPr>
          <w:ilvl w:val="0"/>
          <w:numId w:val="10"/>
        </w:numPr>
        <w:spacing w:line="276" w:lineRule="auto"/>
        <w:rPr>
          <w:rFonts w:ascii="Arial" w:eastAsia="Arial" w:hAnsi="Arial" w:cs="Arial"/>
          <w:bCs/>
          <w:sz w:val="24"/>
          <w:szCs w:val="24"/>
        </w:rPr>
      </w:pPr>
      <w:r w:rsidRPr="00C603B8">
        <w:rPr>
          <w:rFonts w:ascii="Arial" w:eastAsia="Arial" w:hAnsi="Arial" w:cs="Arial"/>
          <w:bCs/>
          <w:sz w:val="24"/>
          <w:szCs w:val="24"/>
        </w:rPr>
        <w:lastRenderedPageBreak/>
        <w:t>There is need to encourage more home visits by community health workers to follow-up and support infant and young child feeding practices to adolescent mothers in the study area.</w:t>
      </w:r>
    </w:p>
    <w:p w:rsidR="00C322FF" w:rsidRPr="00C603B8" w:rsidRDefault="00C322FF">
      <w:pPr>
        <w:spacing w:line="200" w:lineRule="exact"/>
        <w:rPr>
          <w:sz w:val="24"/>
          <w:szCs w:val="24"/>
        </w:rPr>
      </w:pPr>
    </w:p>
    <w:p w:rsidR="00C322FF" w:rsidRDefault="00C322FF">
      <w:pPr>
        <w:spacing w:line="212" w:lineRule="exact"/>
        <w:rPr>
          <w:sz w:val="20"/>
          <w:szCs w:val="20"/>
        </w:rPr>
      </w:pPr>
    </w:p>
    <w:p w:rsidR="00FA5E09" w:rsidRDefault="00FA5E09">
      <w:pPr>
        <w:ind w:left="500"/>
        <w:rPr>
          <w:rFonts w:ascii="Arial" w:eastAsia="Arial" w:hAnsi="Arial" w:cs="Arial"/>
          <w:i/>
          <w:iCs/>
          <w:sz w:val="24"/>
          <w:szCs w:val="24"/>
        </w:rPr>
      </w:pPr>
    </w:p>
    <w:p w:rsidR="00FA5E09" w:rsidRDefault="00FA5E09">
      <w:pPr>
        <w:ind w:left="500"/>
        <w:rPr>
          <w:rFonts w:ascii="Arial" w:eastAsia="Arial" w:hAnsi="Arial" w:cs="Arial"/>
          <w:i/>
          <w:iCs/>
          <w:sz w:val="24"/>
          <w:szCs w:val="24"/>
        </w:rPr>
      </w:pPr>
    </w:p>
    <w:p w:rsidR="00C322FF" w:rsidRDefault="00B77746">
      <w:pPr>
        <w:ind w:left="500"/>
        <w:rPr>
          <w:sz w:val="20"/>
          <w:szCs w:val="20"/>
        </w:rPr>
      </w:pPr>
      <w:r>
        <w:rPr>
          <w:rFonts w:ascii="Arial" w:eastAsia="Arial" w:hAnsi="Arial" w:cs="Arial"/>
          <w:i/>
          <w:iCs/>
          <w:sz w:val="24"/>
          <w:szCs w:val="24"/>
        </w:rPr>
        <w:t xml:space="preserve">7.2 </w:t>
      </w:r>
      <w:r w:rsidR="00F96342">
        <w:rPr>
          <w:rFonts w:ascii="Arial" w:eastAsia="Arial" w:hAnsi="Arial" w:cs="Arial"/>
          <w:i/>
          <w:iCs/>
          <w:sz w:val="24"/>
          <w:szCs w:val="24"/>
        </w:rPr>
        <w:t>Recommendations for future research</w:t>
      </w:r>
    </w:p>
    <w:p w:rsidR="00C322FF" w:rsidRDefault="00C322FF">
      <w:pPr>
        <w:spacing w:line="240" w:lineRule="exact"/>
        <w:rPr>
          <w:sz w:val="20"/>
          <w:szCs w:val="20"/>
        </w:rPr>
      </w:pPr>
    </w:p>
    <w:p w:rsidR="00C21714" w:rsidRPr="00C603B8" w:rsidRDefault="00C603B8" w:rsidP="00C603B8">
      <w:pPr>
        <w:numPr>
          <w:ilvl w:val="0"/>
          <w:numId w:val="11"/>
        </w:numPr>
        <w:spacing w:line="229" w:lineRule="exact"/>
        <w:rPr>
          <w:rFonts w:ascii="Arial" w:eastAsia="Arial" w:hAnsi="Arial" w:cs="Arial"/>
          <w:sz w:val="23"/>
          <w:szCs w:val="23"/>
        </w:rPr>
      </w:pPr>
      <w:r w:rsidRPr="00C603B8">
        <w:rPr>
          <w:rFonts w:ascii="Arial" w:eastAsia="Arial" w:hAnsi="Arial" w:cs="Arial"/>
          <w:sz w:val="23"/>
          <w:szCs w:val="23"/>
        </w:rPr>
        <w:t xml:space="preserve">This study focused on </w:t>
      </w:r>
      <w:r>
        <w:rPr>
          <w:rFonts w:ascii="Arial" w:eastAsia="Arial" w:hAnsi="Arial" w:cs="Arial"/>
          <w:sz w:val="23"/>
          <w:szCs w:val="23"/>
        </w:rPr>
        <w:t xml:space="preserve">the following indicators of feeding practices; breastfeeding, </w:t>
      </w:r>
      <w:r w:rsidRPr="00C603B8">
        <w:rPr>
          <w:rFonts w:ascii="Arial" w:eastAsia="Arial" w:hAnsi="Arial" w:cs="Arial"/>
          <w:sz w:val="23"/>
          <w:szCs w:val="23"/>
        </w:rPr>
        <w:t>meal frequency, dietary diversity and acceptable</w:t>
      </w:r>
      <w:r>
        <w:rPr>
          <w:rFonts w:ascii="Arial" w:eastAsia="Arial" w:hAnsi="Arial" w:cs="Arial"/>
          <w:sz w:val="23"/>
          <w:szCs w:val="23"/>
        </w:rPr>
        <w:t xml:space="preserve"> diet. </w:t>
      </w:r>
      <w:r w:rsidRPr="00C603B8">
        <w:rPr>
          <w:rFonts w:ascii="Arial" w:eastAsia="Arial" w:hAnsi="Arial" w:cs="Arial"/>
          <w:sz w:val="23"/>
          <w:szCs w:val="23"/>
        </w:rPr>
        <w:t>There is need to conduct a similar study with a focus on caloric adequacy of the diet and food frequencies in the same study area.</w:t>
      </w:r>
    </w:p>
    <w:p w:rsidR="00C603B8" w:rsidRPr="00C603B8" w:rsidRDefault="00C603B8" w:rsidP="00C603B8">
      <w:pPr>
        <w:numPr>
          <w:ilvl w:val="0"/>
          <w:numId w:val="11"/>
        </w:numPr>
        <w:spacing w:line="229" w:lineRule="exact"/>
        <w:rPr>
          <w:rFonts w:ascii="Arial" w:eastAsia="Arial" w:hAnsi="Arial" w:cs="Arial"/>
          <w:sz w:val="23"/>
          <w:szCs w:val="23"/>
        </w:rPr>
      </w:pPr>
      <w:r w:rsidRPr="00C603B8">
        <w:rPr>
          <w:rFonts w:ascii="Arial" w:eastAsia="Arial" w:hAnsi="Arial" w:cs="Arial"/>
          <w:sz w:val="23"/>
          <w:szCs w:val="23"/>
        </w:rPr>
        <w:t>This study looked at malnutrition among infants of young mothers. It would be beneficial to have a similar study that compares the feeding practices and nutritional status of infants belonging to adolescent mothers with those of adult mothers.</w:t>
      </w:r>
    </w:p>
    <w:p w:rsidR="00C322FF" w:rsidRDefault="00C322FF">
      <w:pPr>
        <w:spacing w:line="229" w:lineRule="exact"/>
        <w:rPr>
          <w:sz w:val="20"/>
          <w:szCs w:val="20"/>
        </w:rPr>
      </w:pPr>
    </w:p>
    <w:p w:rsidR="00A77A8B" w:rsidRDefault="00A77A8B">
      <w:pPr>
        <w:ind w:left="500"/>
        <w:rPr>
          <w:rFonts w:ascii="Arial" w:eastAsia="Arial" w:hAnsi="Arial" w:cs="Arial"/>
          <w:b/>
          <w:bCs/>
          <w:sz w:val="28"/>
          <w:szCs w:val="28"/>
        </w:rPr>
      </w:pPr>
    </w:p>
    <w:p w:rsidR="00A77A8B" w:rsidRDefault="00A77A8B">
      <w:pPr>
        <w:ind w:left="500"/>
        <w:rPr>
          <w:rFonts w:ascii="Arial" w:eastAsia="Arial" w:hAnsi="Arial" w:cs="Arial"/>
          <w:b/>
          <w:bCs/>
          <w:sz w:val="28"/>
          <w:szCs w:val="28"/>
        </w:rPr>
      </w:pPr>
    </w:p>
    <w:p w:rsidR="00C322FF" w:rsidRDefault="00B77746">
      <w:pPr>
        <w:ind w:left="500"/>
        <w:rPr>
          <w:sz w:val="20"/>
          <w:szCs w:val="20"/>
        </w:rPr>
      </w:pPr>
      <w:r>
        <w:rPr>
          <w:rFonts w:ascii="Arial" w:eastAsia="Arial" w:hAnsi="Arial" w:cs="Arial"/>
          <w:b/>
          <w:bCs/>
          <w:sz w:val="28"/>
          <w:szCs w:val="28"/>
        </w:rPr>
        <w:t>8. Conclusions.</w:t>
      </w:r>
    </w:p>
    <w:p w:rsidR="00C322FF" w:rsidRDefault="00C322FF">
      <w:pPr>
        <w:spacing w:line="109" w:lineRule="exact"/>
        <w:rPr>
          <w:sz w:val="20"/>
          <w:szCs w:val="20"/>
        </w:rPr>
      </w:pPr>
    </w:p>
    <w:p w:rsidR="00C603B8" w:rsidRDefault="00C603B8" w:rsidP="00C603B8">
      <w:pPr>
        <w:spacing w:line="261" w:lineRule="auto"/>
        <w:ind w:left="140" w:right="20"/>
        <w:jc w:val="both"/>
        <w:rPr>
          <w:rFonts w:ascii="Arial" w:eastAsia="Arial" w:hAnsi="Arial" w:cs="Arial"/>
        </w:rPr>
      </w:pPr>
      <w:r w:rsidRPr="00C603B8">
        <w:rPr>
          <w:rFonts w:ascii="Arial" w:eastAsia="Arial" w:hAnsi="Arial" w:cs="Arial"/>
        </w:rPr>
        <w:t>The results of this study showed that most of the respondents were young teenage women of primary level of education. Most of them had dropped out of school because of pregnancy and lack of school fees. They depended on their families as their main sustenance and others did casual jobs to fend for themselves and their infants. The majority of the adolescent mothers could be classified as of low socio-economic backgrounds which were based on socio-economic backgrounds and their source of income</w:t>
      </w:r>
      <w:bookmarkStart w:id="10" w:name="page92"/>
      <w:bookmarkEnd w:id="10"/>
      <w:r w:rsidRPr="00C603B8">
        <w:rPr>
          <w:rFonts w:ascii="Arial" w:eastAsia="Arial" w:hAnsi="Arial" w:cs="Arial"/>
        </w:rPr>
        <w:t>.</w:t>
      </w:r>
      <w:r w:rsidRPr="00C603B8">
        <w:rPr>
          <w:rFonts w:eastAsia="Times New Roman"/>
          <w:sz w:val="24"/>
          <w:szCs w:val="24"/>
        </w:rPr>
        <w:t xml:space="preserve"> </w:t>
      </w:r>
      <w:r w:rsidRPr="00C603B8">
        <w:rPr>
          <w:rFonts w:ascii="Arial" w:eastAsia="Arial" w:hAnsi="Arial" w:cs="Arial"/>
        </w:rPr>
        <w:t>The majority of infants were still breastfeeding at the time of study.</w:t>
      </w:r>
    </w:p>
    <w:p w:rsidR="00C603B8" w:rsidRDefault="00C603B8" w:rsidP="00C603B8">
      <w:pPr>
        <w:spacing w:line="261" w:lineRule="auto"/>
        <w:ind w:left="140" w:right="20"/>
        <w:jc w:val="both"/>
        <w:rPr>
          <w:rFonts w:eastAsia="Times New Roman"/>
          <w:sz w:val="24"/>
          <w:szCs w:val="24"/>
        </w:rPr>
      </w:pPr>
      <w:r w:rsidRPr="00C603B8">
        <w:rPr>
          <w:rFonts w:ascii="Arial" w:eastAsia="Arial" w:hAnsi="Arial" w:cs="Arial"/>
        </w:rPr>
        <w:t xml:space="preserve"> Early initiation of breastfeeding (within 1 hour) was prevalent among the infants. About half of the infants less than 6 months old were exclusively breastfed. The majority of the infants 6-8 months old had been introduced to solids, semi-solids and soft foods. The majority of the breastfed ch</w:t>
      </w:r>
      <w:r>
        <w:rPr>
          <w:rFonts w:ascii="Arial" w:eastAsia="Arial" w:hAnsi="Arial" w:cs="Arial"/>
        </w:rPr>
        <w:t>ildren 9-11</w:t>
      </w:r>
      <w:r w:rsidRPr="00C603B8">
        <w:rPr>
          <w:rFonts w:ascii="Arial" w:eastAsia="Arial" w:hAnsi="Arial" w:cs="Arial"/>
        </w:rPr>
        <w:t xml:space="preserve"> months old met the recommended meal frequency.</w:t>
      </w:r>
      <w:r>
        <w:rPr>
          <w:rFonts w:ascii="Arial" w:eastAsia="Arial" w:hAnsi="Arial" w:cs="Arial"/>
        </w:rPr>
        <w:t xml:space="preserve"> The non-breastfed children 6-11</w:t>
      </w:r>
      <w:r w:rsidRPr="00C603B8">
        <w:rPr>
          <w:rFonts w:ascii="Arial" w:eastAsia="Arial" w:hAnsi="Arial" w:cs="Arial"/>
        </w:rPr>
        <w:t xml:space="preserve"> months old met the recommended meal frequency. The study has demonstrated that dietary diversity of</w:t>
      </w:r>
      <w:r w:rsidRPr="00C603B8">
        <w:rPr>
          <w:rFonts w:eastAsia="Times New Roman"/>
          <w:sz w:val="24"/>
          <w:szCs w:val="24"/>
        </w:rPr>
        <w:t xml:space="preserve"> </w:t>
      </w:r>
      <w:r w:rsidRPr="00C603B8">
        <w:rPr>
          <w:rFonts w:ascii="Arial" w:eastAsia="Arial" w:hAnsi="Arial" w:cs="Arial"/>
        </w:rPr>
        <w:t>the infants was generally good. Despite the good dietary diversity reported most of the infants had poor nutritional status. Morbidity incidence among the infants was noted to be low. Additionally, the importance of exclusive breastfeeding was highlighted through the positive association between exclusive breastfeeding and nutrition status.</w:t>
      </w:r>
      <w:r w:rsidRPr="00C603B8">
        <w:rPr>
          <w:rFonts w:eastAsia="Times New Roman"/>
          <w:sz w:val="24"/>
          <w:szCs w:val="24"/>
        </w:rPr>
        <w:t xml:space="preserve"> </w:t>
      </w:r>
    </w:p>
    <w:p w:rsidR="00C603B8" w:rsidRDefault="00C603B8" w:rsidP="00C603B8">
      <w:pPr>
        <w:spacing w:line="261" w:lineRule="auto"/>
        <w:ind w:left="140" w:right="20"/>
        <w:jc w:val="both"/>
        <w:rPr>
          <w:rFonts w:ascii="Arial" w:eastAsia="Arial" w:hAnsi="Arial" w:cs="Arial"/>
        </w:rPr>
      </w:pPr>
      <w:r w:rsidRPr="00C603B8">
        <w:rPr>
          <w:rFonts w:ascii="Arial" w:eastAsia="Arial" w:hAnsi="Arial" w:cs="Arial"/>
        </w:rPr>
        <w:t>The morbidity burden was not very high among the infants. The most prevalent illnesses were malaria and common cold. Health seeking behavior by mothers for their sick infants was appropriate with the majority of them seeking assistance from health facilities within 24 hours of the child falling sick.</w:t>
      </w:r>
    </w:p>
    <w:p w:rsidR="00C603B8" w:rsidRPr="00C603B8" w:rsidRDefault="00C603B8" w:rsidP="00C603B8">
      <w:pPr>
        <w:spacing w:line="261" w:lineRule="auto"/>
        <w:ind w:left="140" w:right="20"/>
        <w:jc w:val="both"/>
        <w:rPr>
          <w:rFonts w:ascii="Arial" w:eastAsia="Arial" w:hAnsi="Arial" w:cs="Arial"/>
        </w:rPr>
      </w:pPr>
      <w:r w:rsidRPr="00C603B8">
        <w:rPr>
          <w:rFonts w:eastAsia="Times New Roman"/>
          <w:sz w:val="24"/>
          <w:szCs w:val="24"/>
        </w:rPr>
        <w:t xml:space="preserve"> </w:t>
      </w:r>
      <w:r w:rsidRPr="00C603B8">
        <w:rPr>
          <w:rFonts w:ascii="Arial" w:eastAsia="Arial" w:hAnsi="Arial" w:cs="Arial"/>
        </w:rPr>
        <w:t>The prevalence of under nutrition among the infants 1-12 months old was as follows; wasting 17.1%, underweight 22.0% while stunting was 22.0%. Compared to the Kenya National rates for infants 1-12 months, the three indices in this study was higher (KDHS 2014). Infant feeding practices showed a positive significant relationship with nutritional status (underweight); that is exclusive brea</w:t>
      </w:r>
      <w:r>
        <w:rPr>
          <w:rFonts w:ascii="Arial" w:eastAsia="Arial" w:hAnsi="Arial" w:cs="Arial"/>
        </w:rPr>
        <w:t xml:space="preserve">stfeeding and meal frequency. </w:t>
      </w:r>
      <w:r w:rsidRPr="00C603B8">
        <w:rPr>
          <w:rFonts w:ascii="Arial" w:eastAsia="Arial" w:hAnsi="Arial" w:cs="Arial"/>
        </w:rPr>
        <w:t xml:space="preserve">Infants who attained the minimum meal frequency and those who achieved the minimum acceptable diet were less likely to be underweight. </w:t>
      </w:r>
      <w:r>
        <w:rPr>
          <w:rFonts w:ascii="Arial" w:eastAsia="Arial" w:hAnsi="Arial" w:cs="Arial"/>
        </w:rPr>
        <w:t>M</w:t>
      </w:r>
      <w:r w:rsidRPr="00C603B8">
        <w:rPr>
          <w:rFonts w:ascii="Arial" w:eastAsia="Arial" w:hAnsi="Arial" w:cs="Arial"/>
        </w:rPr>
        <w:t>aternal education was the only significant caregiver characteristics that showed a relationship with nutriti</w:t>
      </w:r>
      <w:r>
        <w:rPr>
          <w:rFonts w:ascii="Arial" w:eastAsia="Arial" w:hAnsi="Arial" w:cs="Arial"/>
        </w:rPr>
        <w:t>on status</w:t>
      </w:r>
    </w:p>
    <w:p w:rsidR="00C603B8" w:rsidRPr="00C603B8" w:rsidRDefault="00C603B8" w:rsidP="00C603B8">
      <w:pPr>
        <w:spacing w:line="261" w:lineRule="auto"/>
        <w:ind w:left="140" w:right="20"/>
        <w:jc w:val="both"/>
        <w:rPr>
          <w:rFonts w:ascii="Arial" w:eastAsia="Arial" w:hAnsi="Arial" w:cs="Arial"/>
        </w:rPr>
      </w:pPr>
    </w:p>
    <w:p w:rsidR="00C603B8" w:rsidRPr="00C603B8" w:rsidRDefault="00C603B8" w:rsidP="00C603B8">
      <w:pPr>
        <w:spacing w:line="261" w:lineRule="auto"/>
        <w:ind w:left="140" w:right="20"/>
        <w:jc w:val="both"/>
        <w:rPr>
          <w:rFonts w:ascii="Arial" w:eastAsia="Arial" w:hAnsi="Arial" w:cs="Arial"/>
        </w:rPr>
      </w:pPr>
    </w:p>
    <w:p w:rsidR="00C603B8" w:rsidRDefault="00C603B8" w:rsidP="00C603B8">
      <w:pPr>
        <w:spacing w:line="261" w:lineRule="auto"/>
        <w:ind w:left="140" w:right="20"/>
        <w:jc w:val="both"/>
        <w:rPr>
          <w:rFonts w:ascii="Arial" w:eastAsia="Arial" w:hAnsi="Arial" w:cs="Arial"/>
        </w:rPr>
      </w:pPr>
    </w:p>
    <w:p w:rsidR="00FA5E09" w:rsidRDefault="00FA5E09" w:rsidP="00C603B8">
      <w:pPr>
        <w:spacing w:line="261" w:lineRule="auto"/>
        <w:ind w:left="140" w:right="20"/>
        <w:jc w:val="both"/>
        <w:rPr>
          <w:rFonts w:ascii="Arial" w:eastAsia="Arial" w:hAnsi="Arial" w:cs="Arial"/>
        </w:rPr>
      </w:pPr>
    </w:p>
    <w:p w:rsidR="00FA5E09" w:rsidRDefault="00FA5E09" w:rsidP="00C603B8">
      <w:pPr>
        <w:spacing w:line="261" w:lineRule="auto"/>
        <w:ind w:left="140" w:right="20"/>
        <w:jc w:val="both"/>
        <w:rPr>
          <w:rFonts w:ascii="Arial" w:eastAsia="Arial" w:hAnsi="Arial" w:cs="Arial"/>
        </w:rPr>
      </w:pPr>
    </w:p>
    <w:p w:rsidR="00FA5E09" w:rsidRDefault="00FA5E09" w:rsidP="00C603B8">
      <w:pPr>
        <w:spacing w:line="261" w:lineRule="auto"/>
        <w:ind w:left="140" w:right="20"/>
        <w:jc w:val="both"/>
        <w:rPr>
          <w:rFonts w:ascii="Arial" w:eastAsia="Arial" w:hAnsi="Arial" w:cs="Arial"/>
        </w:rPr>
      </w:pPr>
    </w:p>
    <w:p w:rsidR="00FA5E09" w:rsidRDefault="00FA5E09" w:rsidP="00C603B8">
      <w:pPr>
        <w:spacing w:line="261" w:lineRule="auto"/>
        <w:ind w:left="140" w:right="20"/>
        <w:jc w:val="both"/>
        <w:rPr>
          <w:rFonts w:ascii="Arial" w:eastAsia="Arial" w:hAnsi="Arial" w:cs="Arial"/>
        </w:rPr>
      </w:pPr>
    </w:p>
    <w:p w:rsidR="00FA5E09" w:rsidRDefault="00FA5E09" w:rsidP="00C603B8">
      <w:pPr>
        <w:spacing w:line="261" w:lineRule="auto"/>
        <w:ind w:left="140" w:right="20"/>
        <w:jc w:val="both"/>
        <w:rPr>
          <w:rFonts w:ascii="Arial" w:eastAsia="Arial" w:hAnsi="Arial" w:cs="Arial"/>
        </w:rPr>
      </w:pPr>
    </w:p>
    <w:p w:rsidR="00FA5E09" w:rsidRDefault="00FA5E09" w:rsidP="00C603B8">
      <w:pPr>
        <w:spacing w:line="261" w:lineRule="auto"/>
        <w:ind w:left="140" w:right="20"/>
        <w:jc w:val="both"/>
        <w:rPr>
          <w:rFonts w:ascii="Arial" w:eastAsia="Arial" w:hAnsi="Arial" w:cs="Arial"/>
        </w:rPr>
      </w:pPr>
    </w:p>
    <w:p w:rsidR="00FA5E09" w:rsidRDefault="00FA5E09" w:rsidP="00C603B8">
      <w:pPr>
        <w:spacing w:line="261" w:lineRule="auto"/>
        <w:ind w:left="140" w:right="20"/>
        <w:jc w:val="both"/>
        <w:rPr>
          <w:rFonts w:ascii="Arial" w:eastAsia="Arial" w:hAnsi="Arial" w:cs="Arial"/>
        </w:rPr>
      </w:pPr>
    </w:p>
    <w:p w:rsidR="00FA5E09" w:rsidRDefault="00FA5E09" w:rsidP="00C603B8">
      <w:pPr>
        <w:spacing w:line="261" w:lineRule="auto"/>
        <w:ind w:left="140" w:right="20"/>
        <w:jc w:val="both"/>
        <w:rPr>
          <w:rFonts w:ascii="Arial" w:eastAsia="Arial" w:hAnsi="Arial" w:cs="Arial"/>
        </w:rPr>
      </w:pPr>
    </w:p>
    <w:p w:rsidR="00FA5E09" w:rsidRDefault="00FA5E09" w:rsidP="00C603B8">
      <w:pPr>
        <w:spacing w:line="261" w:lineRule="auto"/>
        <w:ind w:left="140" w:right="20"/>
        <w:jc w:val="both"/>
        <w:rPr>
          <w:rFonts w:ascii="Arial" w:eastAsia="Arial" w:hAnsi="Arial" w:cs="Arial"/>
        </w:rPr>
      </w:pPr>
    </w:p>
    <w:p w:rsidR="00FA5E09" w:rsidRDefault="00FA5E09" w:rsidP="00C603B8">
      <w:pPr>
        <w:spacing w:line="261" w:lineRule="auto"/>
        <w:ind w:left="140" w:right="20"/>
        <w:jc w:val="both"/>
        <w:rPr>
          <w:rFonts w:ascii="Arial" w:eastAsia="Arial" w:hAnsi="Arial" w:cs="Arial"/>
        </w:rPr>
      </w:pPr>
    </w:p>
    <w:p w:rsidR="00FA5E09" w:rsidRDefault="00FA5E09" w:rsidP="00C603B8">
      <w:pPr>
        <w:spacing w:line="261" w:lineRule="auto"/>
        <w:ind w:left="140" w:right="20"/>
        <w:jc w:val="both"/>
        <w:rPr>
          <w:rFonts w:ascii="Arial" w:eastAsia="Arial" w:hAnsi="Arial" w:cs="Arial"/>
        </w:rPr>
      </w:pPr>
    </w:p>
    <w:p w:rsidR="00A77A8B" w:rsidRDefault="00A77A8B" w:rsidP="00C603B8">
      <w:pPr>
        <w:spacing w:line="261" w:lineRule="auto"/>
        <w:ind w:left="140" w:right="20"/>
        <w:jc w:val="both"/>
        <w:rPr>
          <w:rFonts w:ascii="Arial" w:eastAsia="Arial" w:hAnsi="Arial" w:cs="Arial"/>
        </w:rPr>
      </w:pPr>
    </w:p>
    <w:p w:rsidR="00A77A8B" w:rsidRDefault="00A77A8B" w:rsidP="00C603B8">
      <w:pPr>
        <w:spacing w:line="261" w:lineRule="auto"/>
        <w:ind w:left="140" w:right="20"/>
        <w:jc w:val="both"/>
        <w:rPr>
          <w:rFonts w:ascii="Arial" w:eastAsia="Arial" w:hAnsi="Arial" w:cs="Arial"/>
        </w:rPr>
      </w:pPr>
    </w:p>
    <w:p w:rsidR="00A77A8B" w:rsidRDefault="00A77A8B" w:rsidP="00C603B8">
      <w:pPr>
        <w:spacing w:line="261" w:lineRule="auto"/>
        <w:ind w:left="140" w:right="20"/>
        <w:jc w:val="both"/>
        <w:rPr>
          <w:rFonts w:ascii="Arial" w:eastAsia="Arial" w:hAnsi="Arial" w:cs="Arial"/>
        </w:rPr>
      </w:pPr>
    </w:p>
    <w:p w:rsidR="00A77A8B" w:rsidRDefault="00A77A8B" w:rsidP="00C603B8">
      <w:pPr>
        <w:spacing w:line="261" w:lineRule="auto"/>
        <w:ind w:left="140" w:right="20"/>
        <w:jc w:val="both"/>
        <w:rPr>
          <w:rFonts w:ascii="Arial" w:eastAsia="Arial" w:hAnsi="Arial" w:cs="Arial"/>
        </w:rPr>
      </w:pPr>
    </w:p>
    <w:p w:rsidR="00A77A8B" w:rsidRDefault="00A77A8B" w:rsidP="00C603B8">
      <w:pPr>
        <w:spacing w:line="261" w:lineRule="auto"/>
        <w:ind w:left="140" w:right="20"/>
        <w:jc w:val="both"/>
        <w:rPr>
          <w:rFonts w:ascii="Arial" w:eastAsia="Arial" w:hAnsi="Arial" w:cs="Arial"/>
        </w:rPr>
      </w:pPr>
    </w:p>
    <w:p w:rsidR="00A77A8B" w:rsidRDefault="00A77A8B" w:rsidP="00C603B8">
      <w:pPr>
        <w:spacing w:line="261" w:lineRule="auto"/>
        <w:ind w:left="140" w:right="20"/>
        <w:jc w:val="both"/>
        <w:rPr>
          <w:rFonts w:ascii="Arial" w:eastAsia="Arial" w:hAnsi="Arial" w:cs="Arial"/>
        </w:rPr>
      </w:pPr>
    </w:p>
    <w:p w:rsidR="00A77A8B" w:rsidRDefault="00A77A8B" w:rsidP="00C603B8">
      <w:pPr>
        <w:spacing w:line="261" w:lineRule="auto"/>
        <w:ind w:left="140" w:right="20"/>
        <w:jc w:val="both"/>
        <w:rPr>
          <w:rFonts w:ascii="Arial" w:eastAsia="Arial" w:hAnsi="Arial" w:cs="Arial"/>
        </w:rPr>
      </w:pPr>
    </w:p>
    <w:p w:rsidR="00A77A8B" w:rsidRDefault="00A77A8B" w:rsidP="00C603B8">
      <w:pPr>
        <w:spacing w:line="261" w:lineRule="auto"/>
        <w:ind w:left="140" w:right="20"/>
        <w:jc w:val="both"/>
        <w:rPr>
          <w:rFonts w:ascii="Arial" w:eastAsia="Arial" w:hAnsi="Arial" w:cs="Arial"/>
        </w:rPr>
      </w:pPr>
    </w:p>
    <w:p w:rsidR="00A77A8B" w:rsidRDefault="00A77A8B" w:rsidP="00C603B8">
      <w:pPr>
        <w:spacing w:line="261" w:lineRule="auto"/>
        <w:ind w:left="140" w:right="20"/>
        <w:jc w:val="both"/>
        <w:rPr>
          <w:rFonts w:ascii="Arial" w:eastAsia="Arial" w:hAnsi="Arial" w:cs="Arial"/>
        </w:rPr>
      </w:pPr>
    </w:p>
    <w:p w:rsidR="00A77A8B" w:rsidRPr="00C603B8" w:rsidRDefault="00A77A8B" w:rsidP="00C603B8">
      <w:pPr>
        <w:spacing w:line="261" w:lineRule="auto"/>
        <w:ind w:left="140" w:right="20"/>
        <w:jc w:val="both"/>
        <w:rPr>
          <w:rFonts w:ascii="Arial" w:eastAsia="Arial" w:hAnsi="Arial" w:cs="Arial"/>
        </w:rPr>
      </w:pPr>
    </w:p>
    <w:p w:rsidR="00C322FF" w:rsidRDefault="00C322FF">
      <w:pPr>
        <w:spacing w:line="251" w:lineRule="exact"/>
        <w:rPr>
          <w:sz w:val="20"/>
          <w:szCs w:val="20"/>
        </w:rPr>
      </w:pPr>
      <w:bookmarkStart w:id="11" w:name="page10"/>
      <w:bookmarkEnd w:id="11"/>
    </w:p>
    <w:p w:rsidR="00C322FF" w:rsidRDefault="00B77746">
      <w:pPr>
        <w:ind w:right="-119"/>
        <w:jc w:val="center"/>
        <w:rPr>
          <w:sz w:val="20"/>
          <w:szCs w:val="20"/>
        </w:rPr>
      </w:pPr>
      <w:r>
        <w:rPr>
          <w:rFonts w:ascii="Arial" w:eastAsia="Arial" w:hAnsi="Arial" w:cs="Arial"/>
          <w:b/>
          <w:bCs/>
          <w:sz w:val="24"/>
          <w:szCs w:val="24"/>
        </w:rPr>
        <w:t>References</w:t>
      </w:r>
    </w:p>
    <w:p w:rsidR="00C322FF" w:rsidRDefault="00C322FF">
      <w:pPr>
        <w:spacing w:line="128" w:lineRule="exact"/>
        <w:rPr>
          <w:sz w:val="20"/>
          <w:szCs w:val="20"/>
        </w:rPr>
      </w:pP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 xml:space="preserve">Abuya, B. A., Onsomu, E. O., Kimani, J. K., &amp; Moore, D. (2010). Influence of maternal </w:t>
      </w:r>
      <w:r w:rsidRPr="00C603B8">
        <w:rPr>
          <w:rFonts w:ascii="Arial" w:eastAsia="Arial" w:hAnsi="Arial" w:cs="Arial"/>
          <w:sz w:val="20"/>
          <w:szCs w:val="20"/>
        </w:rPr>
        <w:tab/>
        <w:t xml:space="preserve">education on child immunization and stunting in Kenya. </w:t>
      </w:r>
      <w:r w:rsidRPr="00C603B8">
        <w:rPr>
          <w:rFonts w:ascii="Arial" w:eastAsia="Arial" w:hAnsi="Arial" w:cs="Arial"/>
          <w:i/>
          <w:sz w:val="20"/>
          <w:szCs w:val="20"/>
        </w:rPr>
        <w:t xml:space="preserve">Maternal and child health </w:t>
      </w:r>
      <w:r w:rsidRPr="00C603B8">
        <w:rPr>
          <w:rFonts w:ascii="Arial" w:eastAsia="Arial" w:hAnsi="Arial" w:cs="Arial"/>
          <w:i/>
          <w:sz w:val="20"/>
          <w:szCs w:val="20"/>
        </w:rPr>
        <w:tab/>
        <w:t>journal</w:t>
      </w:r>
      <w:r w:rsidRPr="00C603B8">
        <w:rPr>
          <w:rFonts w:ascii="Arial" w:eastAsia="Arial" w:hAnsi="Arial" w:cs="Arial"/>
          <w:sz w:val="20"/>
          <w:szCs w:val="20"/>
        </w:rPr>
        <w:t>, 15(8), 1389-1399.</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fldChar w:fldCharType="begin" w:fldLock="1"/>
      </w:r>
      <w:r w:rsidRPr="00C603B8">
        <w:rPr>
          <w:rFonts w:ascii="Arial" w:eastAsia="Arial" w:hAnsi="Arial" w:cs="Arial"/>
          <w:sz w:val="20"/>
          <w:szCs w:val="20"/>
        </w:rPr>
        <w:instrText xml:space="preserve">ADDIN Mendeley Bibliography CSL_BIBLIOGRAPHY </w:instrText>
      </w:r>
      <w:r w:rsidRPr="00C603B8">
        <w:rPr>
          <w:rFonts w:ascii="Arial" w:eastAsia="Arial" w:hAnsi="Arial" w:cs="Arial"/>
          <w:sz w:val="20"/>
          <w:szCs w:val="20"/>
        </w:rPr>
        <w:fldChar w:fldCharType="separate"/>
      </w:r>
      <w:r w:rsidRPr="00C603B8">
        <w:rPr>
          <w:rFonts w:ascii="Arial" w:eastAsia="Arial" w:hAnsi="Arial" w:cs="Arial"/>
          <w:sz w:val="20"/>
          <w:szCs w:val="20"/>
        </w:rPr>
        <w:t xml:space="preserve">Aparicio, E. M., Gioia, D., &amp; Pecukonis, E. V. (2018). </w:t>
      </w:r>
      <w:r w:rsidRPr="00C603B8">
        <w:rPr>
          <w:rFonts w:ascii="Arial" w:eastAsia="Arial" w:hAnsi="Arial" w:cs="Arial"/>
          <w:i/>
          <w:iCs/>
          <w:sz w:val="20"/>
          <w:szCs w:val="20"/>
        </w:rPr>
        <w:t xml:space="preserve">‘“ I Can Get Through This and I Will Get </w:t>
      </w:r>
      <w:r w:rsidRPr="00C603B8">
        <w:rPr>
          <w:rFonts w:ascii="Arial" w:eastAsia="Arial" w:hAnsi="Arial" w:cs="Arial"/>
          <w:i/>
          <w:iCs/>
          <w:sz w:val="20"/>
          <w:szCs w:val="20"/>
        </w:rPr>
        <w:tab/>
        <w:t xml:space="preserve">Through This ”’: The unfolding journey of teenage motherhood in and beyond foster </w:t>
      </w:r>
      <w:r w:rsidRPr="00C603B8">
        <w:rPr>
          <w:rFonts w:ascii="Arial" w:eastAsia="Arial" w:hAnsi="Arial" w:cs="Arial"/>
          <w:i/>
          <w:iCs/>
          <w:sz w:val="20"/>
          <w:szCs w:val="20"/>
        </w:rPr>
        <w:tab/>
        <w:t>care</w:t>
      </w:r>
      <w:r w:rsidRPr="00C603B8">
        <w:rPr>
          <w:rFonts w:ascii="Arial" w:eastAsia="Arial" w:hAnsi="Arial" w:cs="Arial"/>
          <w:sz w:val="20"/>
          <w:szCs w:val="20"/>
        </w:rPr>
        <w:t>. https://doi.org/10.1177/1473325016656047</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 xml:space="preserve">Beguy, D., Mumah, J., &amp; Gottschalk, L. (2014). Unintended pregnancies among young women </w:t>
      </w:r>
      <w:r w:rsidRPr="00C603B8">
        <w:rPr>
          <w:rFonts w:ascii="Arial" w:eastAsia="Arial" w:hAnsi="Arial" w:cs="Arial"/>
          <w:sz w:val="20"/>
          <w:szCs w:val="20"/>
        </w:rPr>
        <w:tab/>
        <w:t xml:space="preserve">living in urban slums: Evidence from a prospective study in Nairobi City, Kenya. </w:t>
      </w:r>
      <w:r w:rsidRPr="00C603B8">
        <w:rPr>
          <w:rFonts w:ascii="Arial" w:eastAsia="Arial" w:hAnsi="Arial" w:cs="Arial"/>
          <w:i/>
          <w:iCs/>
          <w:sz w:val="20"/>
          <w:szCs w:val="20"/>
        </w:rPr>
        <w:t xml:space="preserve">PLoS </w:t>
      </w:r>
      <w:r w:rsidRPr="00C603B8">
        <w:rPr>
          <w:rFonts w:ascii="Arial" w:eastAsia="Arial" w:hAnsi="Arial" w:cs="Arial"/>
          <w:i/>
          <w:iCs/>
          <w:sz w:val="20"/>
          <w:szCs w:val="20"/>
        </w:rPr>
        <w:tab/>
        <w:t>ONE</w:t>
      </w:r>
      <w:r w:rsidRPr="00C603B8">
        <w:rPr>
          <w:rFonts w:ascii="Arial" w:eastAsia="Arial" w:hAnsi="Arial" w:cs="Arial"/>
          <w:sz w:val="20"/>
          <w:szCs w:val="20"/>
        </w:rPr>
        <w:t xml:space="preserve">, </w:t>
      </w:r>
      <w:r w:rsidRPr="00C603B8">
        <w:rPr>
          <w:rFonts w:ascii="Arial" w:eastAsia="Arial" w:hAnsi="Arial" w:cs="Arial"/>
          <w:i/>
          <w:iCs/>
          <w:sz w:val="20"/>
          <w:szCs w:val="20"/>
        </w:rPr>
        <w:t>9</w:t>
      </w:r>
      <w:r w:rsidRPr="00C603B8">
        <w:rPr>
          <w:rFonts w:ascii="Arial" w:eastAsia="Arial" w:hAnsi="Arial" w:cs="Arial"/>
          <w:sz w:val="20"/>
          <w:szCs w:val="20"/>
        </w:rPr>
        <w:t>(7), 1–26. https://doi.org/10.1371/journal.pone.0101034</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 xml:space="preserve">Black, R. E., Victora, C. G., Walker, S. P., Bhutta, Z. A., Christian, P., De Onis, M., … Uauy, R. </w:t>
      </w:r>
      <w:r w:rsidRPr="00C603B8">
        <w:rPr>
          <w:rFonts w:ascii="Arial" w:eastAsia="Arial" w:hAnsi="Arial" w:cs="Arial"/>
          <w:sz w:val="20"/>
          <w:szCs w:val="20"/>
        </w:rPr>
        <w:tab/>
        <w:t>(2013). Maternal and child undernutrition and overweight in low-income and middle-</w:t>
      </w:r>
      <w:r w:rsidRPr="00C603B8">
        <w:rPr>
          <w:rFonts w:ascii="Arial" w:eastAsia="Arial" w:hAnsi="Arial" w:cs="Arial"/>
          <w:sz w:val="20"/>
          <w:szCs w:val="20"/>
        </w:rPr>
        <w:tab/>
        <w:t xml:space="preserve">income countries. </w:t>
      </w:r>
      <w:r w:rsidRPr="00C603B8">
        <w:rPr>
          <w:rFonts w:ascii="Arial" w:eastAsia="Arial" w:hAnsi="Arial" w:cs="Arial"/>
          <w:i/>
          <w:iCs/>
          <w:sz w:val="20"/>
          <w:szCs w:val="20"/>
        </w:rPr>
        <w:t>The Lancet</w:t>
      </w:r>
      <w:r w:rsidRPr="00C603B8">
        <w:rPr>
          <w:rFonts w:ascii="Arial" w:eastAsia="Arial" w:hAnsi="Arial" w:cs="Arial"/>
          <w:sz w:val="20"/>
          <w:szCs w:val="20"/>
        </w:rPr>
        <w:t>, Vol. 382, pp. 427–451. https://doi.org/10.1016/S0140-</w:t>
      </w:r>
      <w:r w:rsidRPr="00C603B8">
        <w:rPr>
          <w:rFonts w:ascii="Arial" w:eastAsia="Arial" w:hAnsi="Arial" w:cs="Arial"/>
          <w:sz w:val="20"/>
          <w:szCs w:val="20"/>
        </w:rPr>
        <w:tab/>
        <w:t>6736(13)60937-X</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 xml:space="preserve">Campbell, B., Martinelli-heckadon, S., &amp; Wong, S. (2013). </w:t>
      </w:r>
      <w:r w:rsidRPr="00C603B8">
        <w:rPr>
          <w:rFonts w:ascii="Arial" w:eastAsia="Arial" w:hAnsi="Arial" w:cs="Arial"/>
          <w:i/>
          <w:iCs/>
          <w:sz w:val="20"/>
          <w:szCs w:val="20"/>
        </w:rPr>
        <w:t>Motherhood in Childhood</w:t>
      </w:r>
      <w:r w:rsidRPr="00C603B8">
        <w:rPr>
          <w:rFonts w:ascii="Arial" w:eastAsia="Arial" w:hAnsi="Arial" w:cs="Arial"/>
          <w:sz w:val="20"/>
          <w:szCs w:val="20"/>
        </w:rPr>
        <w:t>.</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 xml:space="preserve">Chen, Y. J., Li, C. R., Lee, S. H., Hsu, B. Q., Wu, W. Y., Kuo, C. P., … Lee, M. C. (2014). </w:t>
      </w:r>
      <w:r w:rsidRPr="00C603B8">
        <w:rPr>
          <w:rFonts w:ascii="Arial" w:eastAsia="Arial" w:hAnsi="Arial" w:cs="Arial"/>
          <w:sz w:val="20"/>
          <w:szCs w:val="20"/>
        </w:rPr>
        <w:tab/>
        <w:t xml:space="preserve">Growth changes in infants born of adolescent mothers: Results of a national cohort study </w:t>
      </w:r>
      <w:r w:rsidRPr="00C603B8">
        <w:rPr>
          <w:rFonts w:ascii="Arial" w:eastAsia="Arial" w:hAnsi="Arial" w:cs="Arial"/>
          <w:sz w:val="20"/>
          <w:szCs w:val="20"/>
        </w:rPr>
        <w:tab/>
        <w:t xml:space="preserve">in Taiwan. </w:t>
      </w:r>
      <w:r w:rsidRPr="00C603B8">
        <w:rPr>
          <w:rFonts w:ascii="Arial" w:eastAsia="Arial" w:hAnsi="Arial" w:cs="Arial"/>
          <w:i/>
          <w:iCs/>
          <w:sz w:val="20"/>
          <w:szCs w:val="20"/>
        </w:rPr>
        <w:t>Iranian Journal of Reproductive Medicine</w:t>
      </w:r>
      <w:r w:rsidRPr="00C603B8">
        <w:rPr>
          <w:rFonts w:ascii="Arial" w:eastAsia="Arial" w:hAnsi="Arial" w:cs="Arial"/>
          <w:sz w:val="20"/>
          <w:szCs w:val="20"/>
        </w:rPr>
        <w:t xml:space="preserve">, </w:t>
      </w:r>
      <w:r w:rsidRPr="00C603B8">
        <w:rPr>
          <w:rFonts w:ascii="Arial" w:eastAsia="Arial" w:hAnsi="Arial" w:cs="Arial"/>
          <w:i/>
          <w:iCs/>
          <w:sz w:val="20"/>
          <w:szCs w:val="20"/>
        </w:rPr>
        <w:t>12</w:t>
      </w:r>
      <w:r w:rsidRPr="00C603B8">
        <w:rPr>
          <w:rFonts w:ascii="Arial" w:eastAsia="Arial" w:hAnsi="Arial" w:cs="Arial"/>
          <w:sz w:val="20"/>
          <w:szCs w:val="20"/>
        </w:rPr>
        <w:t>(11), 737–746.</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CDC.(2009).</w:t>
      </w:r>
      <w:r w:rsidRPr="00C603B8">
        <w:rPr>
          <w:rFonts w:ascii="Arial" w:eastAsia="Arial" w:hAnsi="Arial" w:cs="Arial"/>
          <w:i/>
          <w:sz w:val="20"/>
          <w:szCs w:val="20"/>
        </w:rPr>
        <w:t>Water,SanitationandEnviromentallyRelatedHygiene.</w:t>
      </w:r>
      <w:r w:rsidRPr="00C603B8">
        <w:rPr>
          <w:rFonts w:ascii="Arial" w:eastAsia="Arial" w:hAnsi="Arial" w:cs="Arial"/>
          <w:sz w:val="20"/>
          <w:szCs w:val="20"/>
        </w:rPr>
        <w:t>Retrieved April</w:t>
      </w:r>
      <w:r w:rsidRPr="00C603B8">
        <w:rPr>
          <w:rFonts w:ascii="Arial" w:eastAsia="Arial" w:hAnsi="Arial" w:cs="Arial"/>
          <w:sz w:val="20"/>
          <w:szCs w:val="20"/>
        </w:rPr>
        <w:tab/>
        <w:t>7/04/2016,2016,fromImprovingChildDevelopment:ANewCDC</w:t>
      </w:r>
      <w:r w:rsidRPr="00C603B8">
        <w:rPr>
          <w:rFonts w:ascii="Arial" w:eastAsia="Arial" w:hAnsi="Arial" w:cs="Arial"/>
          <w:sz w:val="20"/>
          <w:szCs w:val="20"/>
        </w:rPr>
        <w:tab/>
        <w:t xml:space="preserve">HandwashingStudyShowsPromisingResults:http://www.cdc.gov/healthywa </w:t>
      </w:r>
      <w:r w:rsidRPr="00C603B8">
        <w:rPr>
          <w:rFonts w:ascii="Arial" w:eastAsia="Arial" w:hAnsi="Arial" w:cs="Arial"/>
          <w:sz w:val="20"/>
          <w:szCs w:val="20"/>
        </w:rPr>
        <w:tab/>
        <w:t>er/hygiene/programs/child-</w:t>
      </w:r>
      <w:r w:rsidRPr="00C603B8">
        <w:rPr>
          <w:rFonts w:ascii="Arial" w:eastAsia="Arial" w:hAnsi="Arial" w:cs="Arial"/>
          <w:sz w:val="20"/>
          <w:szCs w:val="20"/>
        </w:rPr>
        <w:tab/>
        <w:t>development.html</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 xml:space="preserve">Concerns, D. (2017). </w:t>
      </w:r>
      <w:r w:rsidRPr="00C603B8">
        <w:rPr>
          <w:rFonts w:ascii="Arial" w:eastAsia="Arial" w:hAnsi="Arial" w:cs="Arial"/>
          <w:i/>
          <w:iCs/>
          <w:sz w:val="20"/>
          <w:szCs w:val="20"/>
        </w:rPr>
        <w:t xml:space="preserve">International Journal of Social Influence of Early Marriage on the Care of </w:t>
      </w:r>
      <w:r w:rsidRPr="00C603B8">
        <w:rPr>
          <w:rFonts w:ascii="Arial" w:eastAsia="Arial" w:hAnsi="Arial" w:cs="Arial"/>
          <w:i/>
          <w:iCs/>
          <w:sz w:val="20"/>
          <w:szCs w:val="20"/>
        </w:rPr>
        <w:tab/>
        <w:t>Infants among Adolescent Mothers in Kiserian</w:t>
      </w:r>
      <w:r w:rsidRPr="00C603B8">
        <w:rPr>
          <w:rFonts w:ascii="Arial" w:eastAsia="Arial" w:hAnsi="Arial" w:cs="Arial"/>
          <w:sz w:val="20"/>
          <w:szCs w:val="20"/>
        </w:rPr>
        <w:t xml:space="preserve">. </w:t>
      </w:r>
      <w:r w:rsidRPr="00C603B8">
        <w:rPr>
          <w:rFonts w:ascii="Arial" w:eastAsia="Arial" w:hAnsi="Arial" w:cs="Arial"/>
          <w:i/>
          <w:iCs/>
          <w:sz w:val="20"/>
          <w:szCs w:val="20"/>
        </w:rPr>
        <w:t>1</w:t>
      </w:r>
      <w:r w:rsidRPr="00C603B8">
        <w:rPr>
          <w:rFonts w:ascii="Arial" w:eastAsia="Arial" w:hAnsi="Arial" w:cs="Arial"/>
          <w:sz w:val="20"/>
          <w:szCs w:val="20"/>
        </w:rPr>
        <w:t>(October), 52–64.</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 xml:space="preserve">County, N. (2013). </w:t>
      </w:r>
      <w:r w:rsidRPr="00C603B8">
        <w:rPr>
          <w:rFonts w:ascii="Arial" w:eastAsia="Arial" w:hAnsi="Arial" w:cs="Arial"/>
          <w:i/>
          <w:iCs/>
          <w:sz w:val="20"/>
          <w:szCs w:val="20"/>
        </w:rPr>
        <w:t>Christian Aid Report of SMART Nutrition Survey</w:t>
      </w:r>
      <w:r w:rsidRPr="00C603B8">
        <w:rPr>
          <w:rFonts w:ascii="Arial" w:eastAsia="Arial" w:hAnsi="Arial" w:cs="Arial"/>
          <w:sz w:val="20"/>
          <w:szCs w:val="20"/>
        </w:rPr>
        <w:t>. (July).</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 xml:space="preserve">Cronbach, L. J., and Richard J. S. (2004). My Current Thoughts on Coefficient Alpha and </w:t>
      </w:r>
      <w:r w:rsidRPr="00C603B8">
        <w:rPr>
          <w:rFonts w:ascii="Arial" w:eastAsia="Arial" w:hAnsi="Arial" w:cs="Arial"/>
          <w:sz w:val="20"/>
          <w:szCs w:val="20"/>
        </w:rPr>
        <w:tab/>
        <w:t xml:space="preserve">Successor Procedures. </w:t>
      </w:r>
      <w:r w:rsidRPr="00C603B8">
        <w:rPr>
          <w:rFonts w:ascii="Arial" w:eastAsia="Arial" w:hAnsi="Arial" w:cs="Arial"/>
          <w:i/>
          <w:sz w:val="20"/>
          <w:szCs w:val="20"/>
        </w:rPr>
        <w:t>Educational and Psychological Measurement,</w:t>
      </w:r>
      <w:r w:rsidRPr="00C603B8">
        <w:rPr>
          <w:rFonts w:ascii="Arial" w:eastAsia="Arial" w:hAnsi="Arial" w:cs="Arial"/>
          <w:sz w:val="20"/>
          <w:szCs w:val="20"/>
        </w:rPr>
        <w:t xml:space="preserve"> 64 (3), 391– 418. </w:t>
      </w:r>
      <w:r w:rsidRPr="00C603B8">
        <w:rPr>
          <w:rFonts w:ascii="Arial" w:eastAsia="Arial" w:hAnsi="Arial" w:cs="Arial"/>
          <w:sz w:val="20"/>
          <w:szCs w:val="20"/>
        </w:rPr>
        <w:tab/>
        <w:t>Retrieved from https://www.cse.ucla.edu/products/reports/r643.pdf</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 xml:space="preserve">da Costa, K. A. O., Antunes, M. M. de C., Cabral, P. C., &amp; da Silva, G. A. P. (2018). Feeding </w:t>
      </w:r>
      <w:r w:rsidRPr="00C603B8">
        <w:rPr>
          <w:rFonts w:ascii="Arial" w:eastAsia="Arial" w:hAnsi="Arial" w:cs="Arial"/>
          <w:sz w:val="20"/>
          <w:szCs w:val="20"/>
        </w:rPr>
        <w:tab/>
        <w:t xml:space="preserve">style of adolescent mothers and complementary feeding practice of their infants. </w:t>
      </w:r>
      <w:r w:rsidRPr="00C603B8">
        <w:rPr>
          <w:rFonts w:ascii="Arial" w:eastAsia="Arial" w:hAnsi="Arial" w:cs="Arial"/>
          <w:i/>
          <w:iCs/>
          <w:sz w:val="20"/>
          <w:szCs w:val="20"/>
        </w:rPr>
        <w:t xml:space="preserve">Revista </w:t>
      </w:r>
      <w:r w:rsidRPr="00C603B8">
        <w:rPr>
          <w:rFonts w:ascii="Arial" w:eastAsia="Arial" w:hAnsi="Arial" w:cs="Arial"/>
          <w:i/>
          <w:iCs/>
          <w:sz w:val="20"/>
          <w:szCs w:val="20"/>
        </w:rPr>
        <w:tab/>
        <w:t>de Nutricao</w:t>
      </w:r>
      <w:r w:rsidRPr="00C603B8">
        <w:rPr>
          <w:rFonts w:ascii="Arial" w:eastAsia="Arial" w:hAnsi="Arial" w:cs="Arial"/>
          <w:sz w:val="20"/>
          <w:szCs w:val="20"/>
        </w:rPr>
        <w:t xml:space="preserve">, </w:t>
      </w:r>
      <w:r w:rsidRPr="00C603B8">
        <w:rPr>
          <w:rFonts w:ascii="Arial" w:eastAsia="Arial" w:hAnsi="Arial" w:cs="Arial"/>
          <w:i/>
          <w:iCs/>
          <w:sz w:val="20"/>
          <w:szCs w:val="20"/>
        </w:rPr>
        <w:t>31</w:t>
      </w:r>
      <w:r w:rsidRPr="00C603B8">
        <w:rPr>
          <w:rFonts w:ascii="Arial" w:eastAsia="Arial" w:hAnsi="Arial" w:cs="Arial"/>
          <w:sz w:val="20"/>
          <w:szCs w:val="20"/>
        </w:rPr>
        <w:t>(1), 49–58. https://doi.org/10.1590/1678-98652018000100005</w:t>
      </w:r>
    </w:p>
    <w:p w:rsidR="00C603B8" w:rsidRPr="00C603B8" w:rsidRDefault="00C603B8" w:rsidP="00C603B8">
      <w:pPr>
        <w:spacing w:line="241" w:lineRule="auto"/>
        <w:ind w:left="860" w:right="20" w:hanging="719"/>
        <w:jc w:val="both"/>
        <w:rPr>
          <w:rFonts w:ascii="Arial" w:eastAsia="Arial" w:hAnsi="Arial" w:cs="Arial"/>
          <w:i/>
          <w:sz w:val="20"/>
          <w:szCs w:val="20"/>
        </w:rPr>
      </w:pPr>
      <w:r w:rsidRPr="00C603B8">
        <w:rPr>
          <w:rFonts w:ascii="Arial" w:eastAsia="Arial" w:hAnsi="Arial" w:cs="Arial"/>
          <w:sz w:val="20"/>
          <w:szCs w:val="20"/>
        </w:rPr>
        <w:t xml:space="preserve">Dewey, K. G., &amp; Vitta, B. S. (2013). Strategies for ensuring adequate nutrient intake for infants </w:t>
      </w:r>
      <w:r w:rsidRPr="00C603B8">
        <w:rPr>
          <w:rFonts w:ascii="Arial" w:eastAsia="Arial" w:hAnsi="Arial" w:cs="Arial"/>
          <w:sz w:val="20"/>
          <w:szCs w:val="20"/>
        </w:rPr>
        <w:tab/>
        <w:t xml:space="preserve">and young children during the period of complementary feeding. </w:t>
      </w:r>
      <w:r w:rsidRPr="00C603B8">
        <w:rPr>
          <w:rFonts w:ascii="Arial" w:eastAsia="Arial" w:hAnsi="Arial" w:cs="Arial"/>
          <w:i/>
          <w:sz w:val="20"/>
          <w:szCs w:val="20"/>
        </w:rPr>
        <w:t>Washington: Alive &amp;</w:t>
      </w:r>
      <w:r w:rsidRPr="00C603B8">
        <w:rPr>
          <w:rFonts w:ascii="Arial" w:eastAsia="Arial" w:hAnsi="Arial" w:cs="Arial"/>
          <w:i/>
          <w:sz w:val="20"/>
          <w:szCs w:val="20"/>
        </w:rPr>
        <w:tab/>
        <w:t>Thrive, 7.</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 xml:space="preserve">Fadare, O., Id, M. A., Mavrotas, G., Akerele, D., &amp; Ogunniyi, A. (2019). </w:t>
      </w:r>
      <w:r w:rsidRPr="00C603B8">
        <w:rPr>
          <w:rFonts w:ascii="Arial" w:eastAsia="Arial" w:hAnsi="Arial" w:cs="Arial"/>
          <w:i/>
          <w:iCs/>
          <w:sz w:val="20"/>
          <w:szCs w:val="20"/>
        </w:rPr>
        <w:t>Mother ’ s nutrition-</w:t>
      </w:r>
      <w:r w:rsidRPr="00C603B8">
        <w:rPr>
          <w:rFonts w:ascii="Arial" w:eastAsia="Arial" w:hAnsi="Arial" w:cs="Arial"/>
          <w:i/>
          <w:iCs/>
          <w:sz w:val="20"/>
          <w:szCs w:val="20"/>
        </w:rPr>
        <w:tab/>
        <w:t>related knowledge and child nutrition outcomes : Empirical evidence from Nigeria</w:t>
      </w:r>
      <w:r w:rsidRPr="00C603B8">
        <w:rPr>
          <w:rFonts w:ascii="Arial" w:eastAsia="Arial" w:hAnsi="Arial" w:cs="Arial"/>
          <w:sz w:val="20"/>
          <w:szCs w:val="20"/>
        </w:rPr>
        <w:t>. 1–</w:t>
      </w:r>
      <w:r w:rsidRPr="00C603B8">
        <w:rPr>
          <w:rFonts w:ascii="Arial" w:eastAsia="Arial" w:hAnsi="Arial" w:cs="Arial"/>
          <w:sz w:val="20"/>
          <w:szCs w:val="20"/>
        </w:rPr>
        <w:tab/>
        <w:t>17.</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lastRenderedPageBreak/>
        <w:t xml:space="preserve">Fekadu, Y., Mesfin, A., Haile, D., &amp; Stoecker, B. J. (2015). Factors associated with nutritional </w:t>
      </w:r>
      <w:r w:rsidRPr="00C603B8">
        <w:rPr>
          <w:rFonts w:ascii="Arial" w:eastAsia="Arial" w:hAnsi="Arial" w:cs="Arial"/>
          <w:sz w:val="20"/>
          <w:szCs w:val="20"/>
        </w:rPr>
        <w:tab/>
        <w:t xml:space="preserve">status of infants and young children in Somali Region, Ethiopia: a cross-sectional </w:t>
      </w:r>
      <w:r w:rsidRPr="00C603B8">
        <w:rPr>
          <w:rFonts w:ascii="Arial" w:eastAsia="Arial" w:hAnsi="Arial" w:cs="Arial"/>
          <w:sz w:val="20"/>
          <w:szCs w:val="20"/>
        </w:rPr>
        <w:tab/>
        <w:t>study. </w:t>
      </w:r>
      <w:r w:rsidRPr="00C603B8">
        <w:rPr>
          <w:rFonts w:ascii="Arial" w:eastAsia="Arial" w:hAnsi="Arial" w:cs="Arial"/>
          <w:i/>
          <w:iCs/>
          <w:sz w:val="20"/>
          <w:szCs w:val="20"/>
        </w:rPr>
        <w:t>BMC Public health</w:t>
      </w:r>
      <w:r w:rsidRPr="00C603B8">
        <w:rPr>
          <w:rFonts w:ascii="Arial" w:eastAsia="Arial" w:hAnsi="Arial" w:cs="Arial"/>
          <w:sz w:val="20"/>
          <w:szCs w:val="20"/>
        </w:rPr>
        <w:t>, </w:t>
      </w:r>
      <w:r w:rsidRPr="00C603B8">
        <w:rPr>
          <w:rFonts w:ascii="Arial" w:eastAsia="Arial" w:hAnsi="Arial" w:cs="Arial"/>
          <w:i/>
          <w:iCs/>
          <w:sz w:val="20"/>
          <w:szCs w:val="20"/>
        </w:rPr>
        <w:t>15</w:t>
      </w:r>
      <w:r w:rsidRPr="00C603B8">
        <w:rPr>
          <w:rFonts w:ascii="Arial" w:eastAsia="Arial" w:hAnsi="Arial" w:cs="Arial"/>
          <w:sz w:val="20"/>
          <w:szCs w:val="20"/>
        </w:rPr>
        <w:t>(1), 846.</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 xml:space="preserve">Godbout, J. M., Goldsberry, W. N., &amp; Franklin, T. E. (2016). </w:t>
      </w:r>
      <w:r w:rsidRPr="00C603B8">
        <w:rPr>
          <w:rFonts w:ascii="Arial" w:eastAsia="Arial" w:hAnsi="Arial" w:cs="Arial"/>
          <w:i/>
          <w:iCs/>
          <w:sz w:val="20"/>
          <w:szCs w:val="20"/>
        </w:rPr>
        <w:t xml:space="preserve">Factors Associated with Infant </w:t>
      </w:r>
      <w:r w:rsidRPr="00C603B8">
        <w:rPr>
          <w:rFonts w:ascii="Arial" w:eastAsia="Arial" w:hAnsi="Arial" w:cs="Arial"/>
          <w:i/>
          <w:iCs/>
          <w:sz w:val="20"/>
          <w:szCs w:val="20"/>
        </w:rPr>
        <w:tab/>
        <w:t>Feeding Choices in the Adolescent Population</w:t>
      </w:r>
      <w:r w:rsidRPr="00C603B8">
        <w:rPr>
          <w:rFonts w:ascii="Arial" w:eastAsia="Arial" w:hAnsi="Arial" w:cs="Arial"/>
          <w:sz w:val="20"/>
          <w:szCs w:val="20"/>
        </w:rPr>
        <w:t xml:space="preserve">. </w:t>
      </w:r>
      <w:r w:rsidRPr="00C603B8">
        <w:rPr>
          <w:rFonts w:ascii="Arial" w:eastAsia="Arial" w:hAnsi="Arial" w:cs="Arial"/>
          <w:sz w:val="20"/>
          <w:szCs w:val="20"/>
        </w:rPr>
        <w:tab/>
        <w:t>https://doi.org/10.1177/0890334416662629</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 xml:space="preserve">Islam, A., Islam, N., Bharati, P., Aik, S., &amp; Hossain, G. (2016). Socio-economic and </w:t>
      </w:r>
      <w:r w:rsidRPr="00C603B8">
        <w:rPr>
          <w:rFonts w:ascii="Arial" w:eastAsia="Arial" w:hAnsi="Arial" w:cs="Arial"/>
          <w:sz w:val="20"/>
          <w:szCs w:val="20"/>
        </w:rPr>
        <w:tab/>
        <w:t xml:space="preserve">demographic factors influencing nutritional status among early childbearing young </w:t>
      </w:r>
      <w:r w:rsidRPr="00C603B8">
        <w:rPr>
          <w:rFonts w:ascii="Arial" w:eastAsia="Arial" w:hAnsi="Arial" w:cs="Arial"/>
          <w:sz w:val="20"/>
          <w:szCs w:val="20"/>
        </w:rPr>
        <w:tab/>
        <w:t xml:space="preserve">mothers in Bangladesh. </w:t>
      </w:r>
      <w:r w:rsidRPr="00C603B8">
        <w:rPr>
          <w:rFonts w:ascii="Arial" w:eastAsia="Arial" w:hAnsi="Arial" w:cs="Arial"/>
          <w:i/>
          <w:iCs/>
          <w:sz w:val="20"/>
          <w:szCs w:val="20"/>
        </w:rPr>
        <w:t>BMC Women’s Health</w:t>
      </w:r>
      <w:r w:rsidRPr="00C603B8">
        <w:rPr>
          <w:rFonts w:ascii="Arial" w:eastAsia="Arial" w:hAnsi="Arial" w:cs="Arial"/>
          <w:sz w:val="20"/>
          <w:szCs w:val="20"/>
        </w:rPr>
        <w:t xml:space="preserve">, </w:t>
      </w:r>
      <w:r w:rsidRPr="00C603B8">
        <w:rPr>
          <w:rFonts w:ascii="Arial" w:eastAsia="Arial" w:hAnsi="Arial" w:cs="Arial"/>
          <w:i/>
          <w:iCs/>
          <w:sz w:val="20"/>
          <w:szCs w:val="20"/>
        </w:rPr>
        <w:t>16</w:t>
      </w:r>
      <w:r w:rsidRPr="00C603B8">
        <w:rPr>
          <w:rFonts w:ascii="Arial" w:eastAsia="Arial" w:hAnsi="Arial" w:cs="Arial"/>
          <w:sz w:val="20"/>
          <w:szCs w:val="20"/>
        </w:rPr>
        <w:t>(1). https://doi.org/10.1186/s12905-</w:t>
      </w:r>
      <w:r w:rsidRPr="00C603B8">
        <w:rPr>
          <w:rFonts w:ascii="Arial" w:eastAsia="Arial" w:hAnsi="Arial" w:cs="Arial"/>
          <w:sz w:val="20"/>
          <w:szCs w:val="20"/>
        </w:rPr>
        <w:tab/>
        <w:t>016-0338-y</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 xml:space="preserve">Jama, N. A., Wilford, A., Haskins, L., Coutsoudis, A., Spies, L., &amp; Horwood, C. (2018). </w:t>
      </w:r>
      <w:r w:rsidRPr="00C603B8">
        <w:rPr>
          <w:rFonts w:ascii="Arial" w:eastAsia="Arial" w:hAnsi="Arial" w:cs="Arial"/>
          <w:sz w:val="20"/>
          <w:szCs w:val="20"/>
        </w:rPr>
        <w:tab/>
        <w:t xml:space="preserve">Autonomy and infant feeding decision-making among teenage mothers in a rural and </w:t>
      </w:r>
      <w:r w:rsidRPr="00C603B8">
        <w:rPr>
          <w:rFonts w:ascii="Arial" w:eastAsia="Arial" w:hAnsi="Arial" w:cs="Arial"/>
          <w:sz w:val="20"/>
          <w:szCs w:val="20"/>
        </w:rPr>
        <w:tab/>
        <w:t xml:space="preserve">urban setting in KwaZulu-Natal, South Africa. </w:t>
      </w:r>
      <w:r w:rsidRPr="00C603B8">
        <w:rPr>
          <w:rFonts w:ascii="Arial" w:eastAsia="Arial" w:hAnsi="Arial" w:cs="Arial"/>
          <w:i/>
          <w:iCs/>
          <w:sz w:val="20"/>
          <w:szCs w:val="20"/>
        </w:rPr>
        <w:t>BMC Pregnancy and Childbirth</w:t>
      </w:r>
      <w:r w:rsidRPr="00C603B8">
        <w:rPr>
          <w:rFonts w:ascii="Arial" w:eastAsia="Arial" w:hAnsi="Arial" w:cs="Arial"/>
          <w:sz w:val="20"/>
          <w:szCs w:val="20"/>
        </w:rPr>
        <w:t xml:space="preserve">, </w:t>
      </w:r>
      <w:r w:rsidRPr="00C603B8">
        <w:rPr>
          <w:rFonts w:ascii="Arial" w:eastAsia="Arial" w:hAnsi="Arial" w:cs="Arial"/>
          <w:i/>
          <w:iCs/>
          <w:sz w:val="20"/>
          <w:szCs w:val="20"/>
        </w:rPr>
        <w:t>18</w:t>
      </w:r>
      <w:r w:rsidRPr="00C603B8">
        <w:rPr>
          <w:rFonts w:ascii="Arial" w:eastAsia="Arial" w:hAnsi="Arial" w:cs="Arial"/>
          <w:sz w:val="20"/>
          <w:szCs w:val="20"/>
        </w:rPr>
        <w:t xml:space="preserve">(1). </w:t>
      </w:r>
      <w:r w:rsidRPr="00C603B8">
        <w:rPr>
          <w:rFonts w:ascii="Arial" w:eastAsia="Arial" w:hAnsi="Arial" w:cs="Arial"/>
          <w:sz w:val="20"/>
          <w:szCs w:val="20"/>
        </w:rPr>
        <w:tab/>
        <w:t>https://doi.org/10.1186/s12884-018-1675-7</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 xml:space="preserve">Kabwijamu, L., Waiswa, P., Kawooya, V., Nalwadda, C. K., Okuga, M., &amp; Nabiwemba, E. L. </w:t>
      </w:r>
      <w:r w:rsidRPr="00C603B8">
        <w:rPr>
          <w:rFonts w:ascii="Arial" w:eastAsia="Arial" w:hAnsi="Arial" w:cs="Arial"/>
          <w:sz w:val="20"/>
          <w:szCs w:val="20"/>
        </w:rPr>
        <w:tab/>
        <w:t xml:space="preserve">(2016). </w:t>
      </w:r>
      <w:r w:rsidRPr="00C603B8">
        <w:rPr>
          <w:rFonts w:ascii="Arial" w:eastAsia="Arial" w:hAnsi="Arial" w:cs="Arial"/>
          <w:i/>
          <w:iCs/>
          <w:sz w:val="20"/>
          <w:szCs w:val="20"/>
        </w:rPr>
        <w:t xml:space="preserve">Newborn Care Practices among Adolescent Mothers in Hoima District , Western </w:t>
      </w:r>
      <w:r w:rsidRPr="00C603B8">
        <w:rPr>
          <w:rFonts w:ascii="Arial" w:eastAsia="Arial" w:hAnsi="Arial" w:cs="Arial"/>
          <w:i/>
          <w:iCs/>
          <w:sz w:val="20"/>
          <w:szCs w:val="20"/>
        </w:rPr>
        <w:tab/>
        <w:t>Uganda</w:t>
      </w:r>
      <w:r w:rsidRPr="00C603B8">
        <w:rPr>
          <w:rFonts w:ascii="Arial" w:eastAsia="Arial" w:hAnsi="Arial" w:cs="Arial"/>
          <w:sz w:val="20"/>
          <w:szCs w:val="20"/>
        </w:rPr>
        <w:t>. 1–12. https://doi.org/10.1371/journal.pone.0166405</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 xml:space="preserve">Kimani-murage, E. W., Wekesah, F., Wanjohi, M., Kyobutungi, C., Ezeh, A. C., Musoke, R. N., </w:t>
      </w:r>
      <w:r w:rsidRPr="00C603B8">
        <w:rPr>
          <w:rFonts w:ascii="Arial" w:eastAsia="Arial" w:hAnsi="Arial" w:cs="Arial"/>
          <w:sz w:val="20"/>
          <w:szCs w:val="20"/>
        </w:rPr>
        <w:tab/>
        <w:t xml:space="preserve">… Griffiths, P. (2015). </w:t>
      </w:r>
      <w:r w:rsidRPr="00C603B8">
        <w:rPr>
          <w:rFonts w:ascii="Arial" w:eastAsia="Arial" w:hAnsi="Arial" w:cs="Arial"/>
          <w:i/>
          <w:iCs/>
          <w:sz w:val="20"/>
          <w:szCs w:val="20"/>
        </w:rPr>
        <w:t xml:space="preserve">Original Article Factors affecting actualisation of the WHO </w:t>
      </w:r>
      <w:r w:rsidRPr="00C603B8">
        <w:rPr>
          <w:rFonts w:ascii="Arial" w:eastAsia="Arial" w:hAnsi="Arial" w:cs="Arial"/>
          <w:i/>
          <w:iCs/>
          <w:sz w:val="20"/>
          <w:szCs w:val="20"/>
        </w:rPr>
        <w:tab/>
        <w:t>breastfeeding recommendations in urban poor settings in Kenya</w:t>
      </w:r>
      <w:r w:rsidRPr="00C603B8">
        <w:rPr>
          <w:rFonts w:ascii="Arial" w:eastAsia="Arial" w:hAnsi="Arial" w:cs="Arial"/>
          <w:sz w:val="20"/>
          <w:szCs w:val="20"/>
        </w:rPr>
        <w:t xml:space="preserve">. 314–332. </w:t>
      </w:r>
      <w:r w:rsidRPr="00C603B8">
        <w:rPr>
          <w:rFonts w:ascii="Arial" w:eastAsia="Arial" w:hAnsi="Arial" w:cs="Arial"/>
          <w:sz w:val="20"/>
          <w:szCs w:val="20"/>
        </w:rPr>
        <w:tab/>
        <w:t>https://doi.org/10.1111/mcn.12161</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 xml:space="preserve">Kimani-Murage, E. W., Madise, N. J., Fotso, J.-C., Kyobutungi, C., Mutua, M. K., Gitau, T. M., </w:t>
      </w:r>
      <w:r w:rsidRPr="00C603B8">
        <w:rPr>
          <w:rFonts w:ascii="Arial" w:eastAsia="Arial" w:hAnsi="Arial" w:cs="Arial"/>
          <w:sz w:val="20"/>
          <w:szCs w:val="20"/>
        </w:rPr>
        <w:tab/>
        <w:t xml:space="preserve">&amp; Yatich, N. (2011). Patterns and determinants of breastfeeding and complementary </w:t>
      </w:r>
      <w:r w:rsidRPr="00C603B8">
        <w:rPr>
          <w:rFonts w:ascii="Arial" w:eastAsia="Arial" w:hAnsi="Arial" w:cs="Arial"/>
          <w:sz w:val="20"/>
          <w:szCs w:val="20"/>
        </w:rPr>
        <w:tab/>
        <w:t xml:space="preserve">feeding practices in urban informal settlements, Nairobi Kenya. </w:t>
      </w:r>
      <w:r w:rsidRPr="00C603B8">
        <w:rPr>
          <w:rFonts w:ascii="Arial" w:eastAsia="Arial" w:hAnsi="Arial" w:cs="Arial"/>
          <w:i/>
          <w:sz w:val="20"/>
          <w:szCs w:val="20"/>
        </w:rPr>
        <w:t>BMC Public Health</w:t>
      </w:r>
      <w:r w:rsidRPr="00C603B8">
        <w:rPr>
          <w:rFonts w:ascii="Arial" w:eastAsia="Arial" w:hAnsi="Arial" w:cs="Arial"/>
          <w:sz w:val="20"/>
          <w:szCs w:val="20"/>
        </w:rPr>
        <w:t>,</w:t>
      </w:r>
      <w:r w:rsidRPr="00C603B8">
        <w:rPr>
          <w:rFonts w:ascii="Arial" w:eastAsia="Arial" w:hAnsi="Arial" w:cs="Arial"/>
          <w:i/>
          <w:sz w:val="20"/>
          <w:szCs w:val="20"/>
        </w:rPr>
        <w:t xml:space="preserve"> 11</w:t>
      </w:r>
      <w:r w:rsidRPr="00C603B8">
        <w:rPr>
          <w:rFonts w:ascii="Arial" w:eastAsia="Arial" w:hAnsi="Arial" w:cs="Arial"/>
          <w:sz w:val="20"/>
          <w:szCs w:val="20"/>
        </w:rPr>
        <w:t xml:space="preserve">, </w:t>
      </w:r>
      <w:r w:rsidRPr="00C603B8">
        <w:rPr>
          <w:rFonts w:ascii="Arial" w:eastAsia="Arial" w:hAnsi="Arial" w:cs="Arial"/>
          <w:sz w:val="20"/>
          <w:szCs w:val="20"/>
        </w:rPr>
        <w:tab/>
        <w:t>396. https://doi.org/10.1186/1471-2458-11-396</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 xml:space="preserve">Kimiywe, J., &amp; Chege, P. M. (2015). Complementary feeding practices and nutritional status of </w:t>
      </w:r>
      <w:r w:rsidRPr="00C603B8">
        <w:rPr>
          <w:rFonts w:ascii="Arial" w:eastAsia="Arial" w:hAnsi="Arial" w:cs="Arial"/>
          <w:sz w:val="20"/>
          <w:szCs w:val="20"/>
        </w:rPr>
        <w:tab/>
        <w:t xml:space="preserve">children 6-23 months in Kitui County, Kenya. </w:t>
      </w:r>
      <w:r w:rsidRPr="00C603B8">
        <w:rPr>
          <w:rFonts w:ascii="Arial" w:eastAsia="Arial" w:hAnsi="Arial" w:cs="Arial"/>
          <w:i/>
          <w:sz w:val="20"/>
          <w:szCs w:val="20"/>
        </w:rPr>
        <w:t xml:space="preserve">Journal of AppliedBiosciences, 85(1), </w:t>
      </w:r>
      <w:r w:rsidRPr="00C603B8">
        <w:rPr>
          <w:rFonts w:ascii="Arial" w:eastAsia="Arial" w:hAnsi="Arial" w:cs="Arial"/>
          <w:i/>
          <w:sz w:val="20"/>
          <w:szCs w:val="20"/>
        </w:rPr>
        <w:tab/>
        <w:t xml:space="preserve">7881-7890. </w:t>
      </w:r>
      <w:r w:rsidRPr="00C603B8">
        <w:rPr>
          <w:rFonts w:ascii="Arial" w:eastAsia="Arial" w:hAnsi="Arial" w:cs="Arial"/>
          <w:sz w:val="20"/>
          <w:szCs w:val="20"/>
        </w:rPr>
        <w:t>http://www.ajol.info/index.php/jab/article/view/113599</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 xml:space="preserve">Korir, J. K. (2014). </w:t>
      </w:r>
      <w:r w:rsidRPr="00C603B8">
        <w:rPr>
          <w:rFonts w:ascii="Arial" w:eastAsia="Arial" w:hAnsi="Arial" w:cs="Arial"/>
          <w:i/>
          <w:sz w:val="20"/>
          <w:szCs w:val="20"/>
        </w:rPr>
        <w:t>Determinants of complementary feeding practices and nutritional</w:t>
      </w:r>
      <w:r w:rsidRPr="00C603B8">
        <w:rPr>
          <w:rFonts w:ascii="Arial" w:eastAsia="Arial" w:hAnsi="Arial" w:cs="Arial"/>
          <w:sz w:val="20"/>
          <w:szCs w:val="20"/>
        </w:rPr>
        <w:t xml:space="preserve"> </w:t>
      </w:r>
      <w:r w:rsidRPr="00C603B8">
        <w:rPr>
          <w:rFonts w:ascii="Arial" w:eastAsia="Arial" w:hAnsi="Arial" w:cs="Arial"/>
          <w:i/>
          <w:sz w:val="20"/>
          <w:szCs w:val="20"/>
        </w:rPr>
        <w:t xml:space="preserve">status of </w:t>
      </w:r>
      <w:r w:rsidRPr="00C603B8">
        <w:rPr>
          <w:rFonts w:ascii="Arial" w:eastAsia="Arial" w:hAnsi="Arial" w:cs="Arial"/>
          <w:i/>
          <w:sz w:val="20"/>
          <w:szCs w:val="20"/>
        </w:rPr>
        <w:tab/>
        <w:t xml:space="preserve">children 6-23 months old in Korogocho slum, Nairobi County, Kenya </w:t>
      </w:r>
      <w:r w:rsidRPr="00C603B8">
        <w:rPr>
          <w:rFonts w:ascii="Arial" w:eastAsia="Arial" w:hAnsi="Arial" w:cs="Arial"/>
          <w:i/>
          <w:sz w:val="20"/>
          <w:szCs w:val="20"/>
        </w:rPr>
        <w:tab/>
      </w:r>
      <w:r w:rsidRPr="00C603B8">
        <w:rPr>
          <w:rFonts w:ascii="Arial" w:eastAsia="Arial" w:hAnsi="Arial" w:cs="Arial"/>
          <w:sz w:val="20"/>
          <w:szCs w:val="20"/>
        </w:rPr>
        <w:t>(Thesis).http://irlibrary.ku.ac.ke/bitstream/handle/123456789/9419/Jacob%</w:t>
      </w:r>
      <w:r w:rsidRPr="00C603B8">
        <w:rPr>
          <w:rFonts w:ascii="Arial" w:eastAsia="Arial" w:hAnsi="Arial" w:cs="Arial"/>
          <w:i/>
          <w:sz w:val="20"/>
          <w:szCs w:val="20"/>
        </w:rPr>
        <w:t xml:space="preserve"> </w:t>
      </w:r>
      <w:r w:rsidRPr="00C603B8">
        <w:rPr>
          <w:rFonts w:ascii="Arial" w:eastAsia="Arial" w:hAnsi="Arial" w:cs="Arial"/>
          <w:i/>
          <w:sz w:val="20"/>
          <w:szCs w:val="20"/>
        </w:rPr>
        <w:tab/>
      </w:r>
      <w:r w:rsidRPr="00C603B8">
        <w:rPr>
          <w:rFonts w:ascii="Arial" w:eastAsia="Arial" w:hAnsi="Arial" w:cs="Arial"/>
          <w:sz w:val="20"/>
          <w:szCs w:val="20"/>
        </w:rPr>
        <w:t>20Kipruto%20Korir.pdf?sequence=1&amp;isAllowed</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Macharia, J. W. (2018). </w:t>
      </w:r>
      <w:r w:rsidRPr="00C603B8">
        <w:rPr>
          <w:rFonts w:ascii="Arial" w:eastAsia="Arial" w:hAnsi="Arial" w:cs="Arial"/>
          <w:i/>
          <w:iCs/>
          <w:sz w:val="20"/>
          <w:szCs w:val="20"/>
        </w:rPr>
        <w:t xml:space="preserve">Feeding practices and nutrition status among children aged 6-23 </w:t>
      </w:r>
      <w:r w:rsidRPr="00C603B8">
        <w:rPr>
          <w:rFonts w:ascii="Arial" w:eastAsia="Arial" w:hAnsi="Arial" w:cs="Arial"/>
          <w:i/>
          <w:iCs/>
          <w:sz w:val="20"/>
          <w:szCs w:val="20"/>
        </w:rPr>
        <w:tab/>
        <w:t xml:space="preserve">months following discharge from supplementary feeding program in isiolo county, </w:t>
      </w:r>
      <w:r w:rsidRPr="00C603B8">
        <w:rPr>
          <w:rFonts w:ascii="Arial" w:eastAsia="Arial" w:hAnsi="Arial" w:cs="Arial"/>
          <w:i/>
          <w:iCs/>
          <w:sz w:val="20"/>
          <w:szCs w:val="20"/>
        </w:rPr>
        <w:tab/>
        <w:t xml:space="preserve">kenya </w:t>
      </w:r>
      <w:r w:rsidRPr="00C603B8">
        <w:rPr>
          <w:rFonts w:ascii="Arial" w:eastAsia="Arial" w:hAnsi="Arial" w:cs="Arial"/>
          <w:sz w:val="20"/>
          <w:szCs w:val="20"/>
        </w:rPr>
        <w:t>(Doctoral dissertation, Kenyatta University).</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 xml:space="preserve">Mumah, J., Kabiru, C. W., Izugbara, C., &amp; Mukiira, C. (2014). Coping with Unintended </w:t>
      </w:r>
      <w:r w:rsidRPr="00C603B8">
        <w:rPr>
          <w:rFonts w:ascii="Arial" w:eastAsia="Arial" w:hAnsi="Arial" w:cs="Arial"/>
          <w:sz w:val="20"/>
          <w:szCs w:val="20"/>
        </w:rPr>
        <w:tab/>
        <w:t xml:space="preserve">Pregnancies: Narratives from Adolescents in Nairobi’s Slums. </w:t>
      </w:r>
      <w:r w:rsidRPr="00C603B8">
        <w:rPr>
          <w:rFonts w:ascii="Arial" w:eastAsia="Arial" w:hAnsi="Arial" w:cs="Arial"/>
          <w:i/>
          <w:iCs/>
          <w:sz w:val="20"/>
          <w:szCs w:val="20"/>
        </w:rPr>
        <w:t xml:space="preserve">STEP UP Research </w:t>
      </w:r>
      <w:r w:rsidRPr="00C603B8">
        <w:rPr>
          <w:rFonts w:ascii="Arial" w:eastAsia="Arial" w:hAnsi="Arial" w:cs="Arial"/>
          <w:i/>
          <w:iCs/>
          <w:sz w:val="20"/>
          <w:szCs w:val="20"/>
        </w:rPr>
        <w:tab/>
        <w:t>Report</w:t>
      </w:r>
      <w:r w:rsidRPr="00C603B8">
        <w:rPr>
          <w:rFonts w:ascii="Arial" w:eastAsia="Arial" w:hAnsi="Arial" w:cs="Arial"/>
          <w:sz w:val="20"/>
          <w:szCs w:val="20"/>
        </w:rPr>
        <w:t>, (April). Retrieved from http://www.popcouncil.org/uploads/pdfs/2014STEPUP_APHRC-ResearchReport.pdf</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i/>
          <w:iCs/>
          <w:sz w:val="20"/>
          <w:szCs w:val="20"/>
        </w:rPr>
        <w:t>Narok County SMART Survey Report - February 2018</w:t>
      </w:r>
      <w:r w:rsidRPr="00C603B8">
        <w:rPr>
          <w:rFonts w:ascii="Arial" w:eastAsia="Arial" w:hAnsi="Arial" w:cs="Arial"/>
          <w:sz w:val="20"/>
          <w:szCs w:val="20"/>
        </w:rPr>
        <w:t>. (n.d.).</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i/>
          <w:iCs/>
          <w:sz w:val="20"/>
          <w:szCs w:val="20"/>
        </w:rPr>
        <w:t>National Adolescents And Youth County</w:t>
      </w:r>
      <w:r w:rsidRPr="00C603B8">
        <w:rPr>
          <w:rFonts w:ascii="Arial" w:eastAsia="Arial" w:hAnsi="Arial" w:cs="Arial"/>
          <w:sz w:val="20"/>
          <w:szCs w:val="20"/>
        </w:rPr>
        <w:t xml:space="preserve"> (2017). (January).</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 xml:space="preserve">Ndanu, M. M. (2013). </w:t>
      </w:r>
      <w:r w:rsidRPr="00C603B8">
        <w:rPr>
          <w:rFonts w:ascii="Arial" w:eastAsia="Arial" w:hAnsi="Arial" w:cs="Arial"/>
          <w:i/>
          <w:sz w:val="20"/>
          <w:szCs w:val="20"/>
        </w:rPr>
        <w:t xml:space="preserve">Feeding Practices and Nutritional Status of Children Aged 0-59Months </w:t>
      </w:r>
      <w:r w:rsidRPr="00C603B8">
        <w:rPr>
          <w:rFonts w:ascii="Arial" w:eastAsia="Arial" w:hAnsi="Arial" w:cs="Arial"/>
          <w:i/>
          <w:sz w:val="20"/>
          <w:szCs w:val="20"/>
        </w:rPr>
        <w:tab/>
        <w:t xml:space="preserve">Accompanying Incarcerated Mothers in Selected Women’s Prisons in Kenya </w:t>
      </w:r>
      <w:r w:rsidRPr="00C603B8">
        <w:rPr>
          <w:rFonts w:ascii="Arial" w:eastAsia="Arial" w:hAnsi="Arial" w:cs="Arial"/>
          <w:sz w:val="20"/>
          <w:szCs w:val="20"/>
        </w:rPr>
        <w:t xml:space="preserve">(Thesis). </w:t>
      </w:r>
      <w:r w:rsidRPr="00C603B8">
        <w:rPr>
          <w:rFonts w:ascii="Arial" w:eastAsia="Arial" w:hAnsi="Arial" w:cs="Arial"/>
          <w:sz w:val="20"/>
          <w:szCs w:val="20"/>
        </w:rPr>
        <w:tab/>
        <w:t>Retrieved from http://ir-library.ku.ac.ke/handle/123456789/7485</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 xml:space="preserve">Nesbitt, S. A., Campbell, K. A., Jack, S. M., Robinson, H., Piehl, K., &amp; Bogdan, J. C. (2012). </w:t>
      </w:r>
      <w:r w:rsidRPr="00C603B8">
        <w:rPr>
          <w:rFonts w:ascii="Arial" w:eastAsia="Arial" w:hAnsi="Arial" w:cs="Arial"/>
          <w:sz w:val="20"/>
          <w:szCs w:val="20"/>
        </w:rPr>
        <w:tab/>
      </w:r>
      <w:r w:rsidRPr="00C603B8">
        <w:rPr>
          <w:rFonts w:ascii="Arial" w:eastAsia="Arial" w:hAnsi="Arial" w:cs="Arial"/>
          <w:i/>
          <w:iCs/>
          <w:sz w:val="20"/>
          <w:szCs w:val="20"/>
        </w:rPr>
        <w:t xml:space="preserve">Canadian adolescent mothers ’ perceptions of influences on breastfeeding decisions : a </w:t>
      </w:r>
      <w:r w:rsidRPr="00C603B8">
        <w:rPr>
          <w:rFonts w:ascii="Arial" w:eastAsia="Arial" w:hAnsi="Arial" w:cs="Arial"/>
          <w:i/>
          <w:iCs/>
          <w:sz w:val="20"/>
          <w:szCs w:val="20"/>
        </w:rPr>
        <w:tab/>
        <w:t>qualitative descriptive study</w:t>
      </w:r>
      <w:r w:rsidRPr="00C603B8">
        <w:rPr>
          <w:rFonts w:ascii="Arial" w:eastAsia="Arial" w:hAnsi="Arial" w:cs="Arial"/>
          <w:sz w:val="20"/>
          <w:szCs w:val="20"/>
        </w:rPr>
        <w:t>. 1–14.</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 xml:space="preserve">Nguyen, P. H., Sanghvi, T., Tran, L. M., Afsana, K., Mahmud, Z., Aktar, B., … Menon, P. </w:t>
      </w:r>
      <w:r w:rsidRPr="00C603B8">
        <w:rPr>
          <w:rFonts w:ascii="Arial" w:eastAsia="Arial" w:hAnsi="Arial" w:cs="Arial"/>
          <w:sz w:val="20"/>
          <w:szCs w:val="20"/>
        </w:rPr>
        <w:tab/>
        <w:t xml:space="preserve">(2017). The nutrition and health risks faced by pregnant adolescents: Insights from a </w:t>
      </w:r>
      <w:r w:rsidRPr="00C603B8">
        <w:rPr>
          <w:rFonts w:ascii="Arial" w:eastAsia="Arial" w:hAnsi="Arial" w:cs="Arial"/>
          <w:sz w:val="20"/>
          <w:szCs w:val="20"/>
        </w:rPr>
        <w:tab/>
        <w:t xml:space="preserve">cross-sectional study in Bangladesh. </w:t>
      </w:r>
      <w:r w:rsidRPr="00C603B8">
        <w:rPr>
          <w:rFonts w:ascii="Arial" w:eastAsia="Arial" w:hAnsi="Arial" w:cs="Arial"/>
          <w:i/>
          <w:iCs/>
          <w:sz w:val="20"/>
          <w:szCs w:val="20"/>
        </w:rPr>
        <w:t>PLoS ONE</w:t>
      </w:r>
      <w:r w:rsidRPr="00C603B8">
        <w:rPr>
          <w:rFonts w:ascii="Arial" w:eastAsia="Arial" w:hAnsi="Arial" w:cs="Arial"/>
          <w:sz w:val="20"/>
          <w:szCs w:val="20"/>
        </w:rPr>
        <w:t xml:space="preserve">, </w:t>
      </w:r>
      <w:r w:rsidRPr="00C603B8">
        <w:rPr>
          <w:rFonts w:ascii="Arial" w:eastAsia="Arial" w:hAnsi="Arial" w:cs="Arial"/>
          <w:i/>
          <w:iCs/>
          <w:sz w:val="20"/>
          <w:szCs w:val="20"/>
        </w:rPr>
        <w:t>12</w:t>
      </w:r>
      <w:r w:rsidRPr="00C603B8">
        <w:rPr>
          <w:rFonts w:ascii="Arial" w:eastAsia="Arial" w:hAnsi="Arial" w:cs="Arial"/>
          <w:sz w:val="20"/>
          <w:szCs w:val="20"/>
        </w:rPr>
        <w:t xml:space="preserve">(6). </w:t>
      </w:r>
      <w:r w:rsidRPr="00C603B8">
        <w:rPr>
          <w:rFonts w:ascii="Arial" w:eastAsia="Arial" w:hAnsi="Arial" w:cs="Arial"/>
          <w:sz w:val="20"/>
          <w:szCs w:val="20"/>
        </w:rPr>
        <w:tab/>
        <w:t>https://doi.org/10.1371/journal.pone.0178878</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 xml:space="preserve">Okeyo, D. O., Gumo, S., Munde, E. O., Opiyo, C. O., Omungo, Z. O., Olyaro, M., ... &amp; Ouma, </w:t>
      </w:r>
      <w:r w:rsidRPr="00C603B8">
        <w:rPr>
          <w:rFonts w:ascii="Arial" w:eastAsia="Arial" w:hAnsi="Arial" w:cs="Arial"/>
          <w:sz w:val="20"/>
          <w:szCs w:val="20"/>
        </w:rPr>
        <w:tab/>
        <w:t>C. (2019). Nutritional service needs of pregnant and lactating adolescent girls in Trans-</w:t>
      </w:r>
      <w:r w:rsidRPr="00C603B8">
        <w:rPr>
          <w:rFonts w:ascii="Arial" w:eastAsia="Arial" w:hAnsi="Arial" w:cs="Arial"/>
          <w:sz w:val="20"/>
          <w:szCs w:val="20"/>
        </w:rPr>
        <w:tab/>
        <w:t xml:space="preserve">Mara East Sub-County, Narok County: focus on access and utilization of nutritional </w:t>
      </w:r>
      <w:r w:rsidRPr="00C603B8">
        <w:rPr>
          <w:rFonts w:ascii="Arial" w:eastAsia="Arial" w:hAnsi="Arial" w:cs="Arial"/>
          <w:sz w:val="20"/>
          <w:szCs w:val="20"/>
        </w:rPr>
        <w:tab/>
        <w:t>advice and services. </w:t>
      </w:r>
      <w:r w:rsidRPr="00C603B8">
        <w:rPr>
          <w:rFonts w:ascii="Arial" w:eastAsia="Arial" w:hAnsi="Arial" w:cs="Arial"/>
          <w:i/>
          <w:iCs/>
          <w:sz w:val="20"/>
          <w:szCs w:val="20"/>
        </w:rPr>
        <w:t>BMC pregnancy and childbirth</w:t>
      </w:r>
      <w:r w:rsidRPr="00C603B8">
        <w:rPr>
          <w:rFonts w:ascii="Arial" w:eastAsia="Arial" w:hAnsi="Arial" w:cs="Arial"/>
          <w:sz w:val="20"/>
          <w:szCs w:val="20"/>
        </w:rPr>
        <w:t>, </w:t>
      </w:r>
      <w:r w:rsidRPr="00C603B8">
        <w:rPr>
          <w:rFonts w:ascii="Arial" w:eastAsia="Arial" w:hAnsi="Arial" w:cs="Arial"/>
          <w:i/>
          <w:iCs/>
          <w:sz w:val="20"/>
          <w:szCs w:val="20"/>
        </w:rPr>
        <w:t>19</w:t>
      </w:r>
      <w:r w:rsidRPr="00C603B8">
        <w:rPr>
          <w:rFonts w:ascii="Arial" w:eastAsia="Arial" w:hAnsi="Arial" w:cs="Arial"/>
          <w:sz w:val="20"/>
          <w:szCs w:val="20"/>
        </w:rPr>
        <w:t>(1), 229.</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 xml:space="preserve">Report, F. (2015). </w:t>
      </w:r>
      <w:r w:rsidRPr="00C603B8">
        <w:rPr>
          <w:rFonts w:ascii="Arial" w:eastAsia="Arial" w:hAnsi="Arial" w:cs="Arial"/>
          <w:i/>
          <w:iCs/>
          <w:sz w:val="20"/>
          <w:szCs w:val="20"/>
        </w:rPr>
        <w:t>Focused Report on … Infant Feeding among Adolescent Mothers</w:t>
      </w:r>
      <w:r w:rsidRPr="00C603B8">
        <w:rPr>
          <w:rFonts w:ascii="Arial" w:eastAsia="Arial" w:hAnsi="Arial" w:cs="Arial"/>
          <w:sz w:val="20"/>
          <w:szCs w:val="20"/>
        </w:rPr>
        <w:t>. (June), 1–</w:t>
      </w:r>
      <w:r w:rsidRPr="00C603B8">
        <w:rPr>
          <w:rFonts w:ascii="Arial" w:eastAsia="Arial" w:hAnsi="Arial" w:cs="Arial"/>
          <w:sz w:val="20"/>
          <w:szCs w:val="20"/>
        </w:rPr>
        <w:tab/>
        <w:t>13.</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 xml:space="preserve">Smith, P. H., Coley, S. L., Labbok, M. H., Cupito, S., &amp; Nwokah, E. (2012). </w:t>
      </w:r>
      <w:r w:rsidRPr="00C603B8">
        <w:rPr>
          <w:rFonts w:ascii="Arial" w:eastAsia="Arial" w:hAnsi="Arial" w:cs="Arial"/>
          <w:i/>
          <w:iCs/>
          <w:sz w:val="20"/>
          <w:szCs w:val="20"/>
        </w:rPr>
        <w:t xml:space="preserve">Early breastfeeding </w:t>
      </w:r>
      <w:r w:rsidRPr="00C603B8">
        <w:rPr>
          <w:rFonts w:ascii="Arial" w:eastAsia="Arial" w:hAnsi="Arial" w:cs="Arial"/>
          <w:i/>
          <w:iCs/>
          <w:sz w:val="20"/>
          <w:szCs w:val="20"/>
        </w:rPr>
        <w:tab/>
        <w:t>experiences of adolescent mothers : a qualitative prospective study</w:t>
      </w:r>
      <w:r w:rsidRPr="00C603B8">
        <w:rPr>
          <w:rFonts w:ascii="Arial" w:eastAsia="Arial" w:hAnsi="Arial" w:cs="Arial"/>
          <w:sz w:val="20"/>
          <w:szCs w:val="20"/>
        </w:rPr>
        <w:t>. 8–10.</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 xml:space="preserve">Tucker, C. M., Wilson, E. K., &amp; Samandari, G. (2011). </w:t>
      </w:r>
      <w:r w:rsidRPr="00C603B8">
        <w:rPr>
          <w:rFonts w:ascii="Arial" w:eastAsia="Arial" w:hAnsi="Arial" w:cs="Arial"/>
          <w:i/>
          <w:iCs/>
          <w:sz w:val="20"/>
          <w:szCs w:val="20"/>
        </w:rPr>
        <w:t xml:space="preserve">Infant feeding experiences among teen </w:t>
      </w:r>
      <w:r w:rsidRPr="00C603B8">
        <w:rPr>
          <w:rFonts w:ascii="Arial" w:eastAsia="Arial" w:hAnsi="Arial" w:cs="Arial"/>
          <w:i/>
          <w:iCs/>
          <w:sz w:val="20"/>
          <w:szCs w:val="20"/>
        </w:rPr>
        <w:tab/>
        <w:t>mothers in North Carolina : Findings from a mixed- methods study</w:t>
      </w:r>
      <w:r w:rsidRPr="00C603B8">
        <w:rPr>
          <w:rFonts w:ascii="Arial" w:eastAsia="Arial" w:hAnsi="Arial" w:cs="Arial"/>
          <w:sz w:val="20"/>
          <w:szCs w:val="20"/>
        </w:rPr>
        <w:t>. 1–11.</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 xml:space="preserve">UNICEF. (n.d.). </w:t>
      </w:r>
      <w:r w:rsidRPr="00C603B8">
        <w:rPr>
          <w:rFonts w:ascii="Arial" w:eastAsia="Arial" w:hAnsi="Arial" w:cs="Arial"/>
          <w:i/>
          <w:iCs/>
          <w:sz w:val="20"/>
          <w:szCs w:val="20"/>
        </w:rPr>
        <w:t>Improving child nutrition : the achievable imperative for global progress</w:t>
      </w:r>
      <w:r w:rsidRPr="00C603B8">
        <w:rPr>
          <w:rFonts w:ascii="Arial" w:eastAsia="Arial" w:hAnsi="Arial" w:cs="Arial"/>
          <w:sz w:val="20"/>
          <w:szCs w:val="20"/>
        </w:rPr>
        <w:t>.</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 xml:space="preserve">USAID. (2015). </w:t>
      </w:r>
      <w:r w:rsidRPr="00C603B8">
        <w:rPr>
          <w:rFonts w:ascii="Arial" w:eastAsia="Arial" w:hAnsi="Arial" w:cs="Arial"/>
          <w:i/>
          <w:sz w:val="20"/>
          <w:szCs w:val="20"/>
        </w:rPr>
        <w:t xml:space="preserve">WASH &amp; NUTRITION.Water and Development Strategy. </w:t>
      </w:r>
      <w:r w:rsidRPr="00C603B8">
        <w:rPr>
          <w:rFonts w:ascii="Arial" w:eastAsia="Arial" w:hAnsi="Arial" w:cs="Arial"/>
          <w:sz w:val="20"/>
          <w:szCs w:val="20"/>
        </w:rPr>
        <w:t xml:space="preserve">Washington DC: </w:t>
      </w:r>
      <w:r w:rsidRPr="00C603B8">
        <w:rPr>
          <w:rFonts w:ascii="Arial" w:eastAsia="Arial" w:hAnsi="Arial" w:cs="Arial"/>
          <w:sz w:val="20"/>
          <w:szCs w:val="20"/>
        </w:rPr>
        <w:tab/>
        <w:t>USAID.</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 xml:space="preserve">Walgwe, E., Termini, N., Birungi, H., &amp; Undie, C.-C. (2016). </w:t>
      </w:r>
      <w:r w:rsidRPr="00C603B8">
        <w:rPr>
          <w:rFonts w:ascii="Arial" w:eastAsia="Arial" w:hAnsi="Arial" w:cs="Arial"/>
          <w:i/>
          <w:iCs/>
          <w:sz w:val="20"/>
          <w:szCs w:val="20"/>
        </w:rPr>
        <w:t xml:space="preserve">Kenya: Helping adolescent </w:t>
      </w:r>
      <w:r w:rsidRPr="00C603B8">
        <w:rPr>
          <w:rFonts w:ascii="Arial" w:eastAsia="Arial" w:hAnsi="Arial" w:cs="Arial"/>
          <w:i/>
          <w:iCs/>
          <w:sz w:val="20"/>
          <w:szCs w:val="20"/>
        </w:rPr>
        <w:tab/>
        <w:t xml:space="preserve">mothers remain in school through strengthened implementation of school re-entry </w:t>
      </w:r>
      <w:r w:rsidRPr="00C603B8">
        <w:rPr>
          <w:rFonts w:ascii="Arial" w:eastAsia="Arial" w:hAnsi="Arial" w:cs="Arial"/>
          <w:i/>
          <w:iCs/>
          <w:sz w:val="20"/>
          <w:szCs w:val="20"/>
        </w:rPr>
        <w:tab/>
        <w:t>policies</w:t>
      </w:r>
      <w:r w:rsidRPr="00C603B8">
        <w:rPr>
          <w:rFonts w:ascii="Arial" w:eastAsia="Arial" w:hAnsi="Arial" w:cs="Arial"/>
          <w:sz w:val="20"/>
          <w:szCs w:val="20"/>
        </w:rPr>
        <w:t>. (November). Retrieved from https://www.popcouncil.org/uploads/pdfs/2016STEPUP_AdolMothersKenya.pdf%0Ahttp://ww</w:t>
      </w:r>
      <w:r w:rsidRPr="00C603B8">
        <w:rPr>
          <w:rFonts w:ascii="Arial" w:eastAsia="Arial" w:hAnsi="Arial" w:cs="Arial"/>
          <w:sz w:val="20"/>
          <w:szCs w:val="20"/>
        </w:rPr>
        <w:tab/>
        <w:t>w.popcouncil.org/uploads/pdfs/2016STEPUP_AdolMothersKenya.pdf</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Wanjohi, M., Griffiths, P., Wekesah, F., Muriuki, P., Muhia, N., Musoke, R. N., … Kimani-</w:t>
      </w:r>
      <w:r w:rsidRPr="00C603B8">
        <w:rPr>
          <w:rFonts w:ascii="Arial" w:eastAsia="Arial" w:hAnsi="Arial" w:cs="Arial"/>
          <w:sz w:val="20"/>
          <w:szCs w:val="20"/>
        </w:rPr>
        <w:tab/>
        <w:t xml:space="preserve">murage, E. W. (2017). Sociocultural factors influencing breastfeeding practices in two </w:t>
      </w:r>
      <w:r w:rsidRPr="00C603B8">
        <w:rPr>
          <w:rFonts w:ascii="Arial" w:eastAsia="Arial" w:hAnsi="Arial" w:cs="Arial"/>
          <w:sz w:val="20"/>
          <w:szCs w:val="20"/>
        </w:rPr>
        <w:tab/>
        <w:t xml:space="preserve">slums in Nairobi , Kenya. </w:t>
      </w:r>
      <w:r w:rsidRPr="00C603B8">
        <w:rPr>
          <w:rFonts w:ascii="Arial" w:eastAsia="Arial" w:hAnsi="Arial" w:cs="Arial"/>
          <w:i/>
          <w:iCs/>
          <w:sz w:val="20"/>
          <w:szCs w:val="20"/>
        </w:rPr>
        <w:t>International Breastfeeding Journal</w:t>
      </w:r>
      <w:r w:rsidRPr="00C603B8">
        <w:rPr>
          <w:rFonts w:ascii="Arial" w:eastAsia="Arial" w:hAnsi="Arial" w:cs="Arial"/>
          <w:sz w:val="20"/>
          <w:szCs w:val="20"/>
        </w:rPr>
        <w:t xml:space="preserve">, 1–8. </w:t>
      </w:r>
      <w:r w:rsidRPr="00C603B8">
        <w:rPr>
          <w:rFonts w:ascii="Arial" w:eastAsia="Arial" w:hAnsi="Arial" w:cs="Arial"/>
          <w:sz w:val="20"/>
          <w:szCs w:val="20"/>
        </w:rPr>
        <w:tab/>
        <w:t>https://doi.org/10.1186/s13006-016-0092-7</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 xml:space="preserve">Wemakor, A., Garti, H., Azongo, T., Garti, H., &amp; Atosona, A. (2018). Young maternal age is a </w:t>
      </w:r>
      <w:r w:rsidRPr="00C603B8">
        <w:rPr>
          <w:rFonts w:ascii="Arial" w:eastAsia="Arial" w:hAnsi="Arial" w:cs="Arial"/>
          <w:sz w:val="20"/>
          <w:szCs w:val="20"/>
        </w:rPr>
        <w:tab/>
        <w:t xml:space="preserve">risk factor for child undernutrition in Tamale Metropolis, Ghana. </w:t>
      </w:r>
      <w:r w:rsidRPr="00C603B8">
        <w:rPr>
          <w:rFonts w:ascii="Arial" w:eastAsia="Arial" w:hAnsi="Arial" w:cs="Arial"/>
          <w:i/>
          <w:iCs/>
          <w:sz w:val="20"/>
          <w:szCs w:val="20"/>
        </w:rPr>
        <w:t>BMC Research Notes</w:t>
      </w:r>
      <w:r w:rsidRPr="00C603B8">
        <w:rPr>
          <w:rFonts w:ascii="Arial" w:eastAsia="Arial" w:hAnsi="Arial" w:cs="Arial"/>
          <w:sz w:val="20"/>
          <w:szCs w:val="20"/>
        </w:rPr>
        <w:t xml:space="preserve">, </w:t>
      </w:r>
      <w:r w:rsidRPr="00C603B8">
        <w:rPr>
          <w:rFonts w:ascii="Arial" w:eastAsia="Arial" w:hAnsi="Arial" w:cs="Arial"/>
          <w:sz w:val="20"/>
          <w:szCs w:val="20"/>
        </w:rPr>
        <w:tab/>
      </w:r>
      <w:r w:rsidRPr="00C603B8">
        <w:rPr>
          <w:rFonts w:ascii="Arial" w:eastAsia="Arial" w:hAnsi="Arial" w:cs="Arial"/>
          <w:i/>
          <w:iCs/>
          <w:sz w:val="20"/>
          <w:szCs w:val="20"/>
        </w:rPr>
        <w:t>11</w:t>
      </w:r>
      <w:r w:rsidRPr="00C603B8">
        <w:rPr>
          <w:rFonts w:ascii="Arial" w:eastAsia="Arial" w:hAnsi="Arial" w:cs="Arial"/>
          <w:sz w:val="20"/>
          <w:szCs w:val="20"/>
        </w:rPr>
        <w:t>(1). https://doi.org/10.1186/s13104-018-3980-7</w:t>
      </w:r>
    </w:p>
    <w:p w:rsidR="00C603B8" w:rsidRPr="00C603B8" w:rsidRDefault="00C603B8" w:rsidP="00C603B8">
      <w:pPr>
        <w:spacing w:line="241" w:lineRule="auto"/>
        <w:ind w:left="860" w:right="20" w:hanging="719"/>
        <w:jc w:val="both"/>
        <w:rPr>
          <w:rFonts w:ascii="Arial" w:eastAsia="Arial" w:hAnsi="Arial" w:cs="Arial"/>
          <w:i/>
          <w:iCs/>
          <w:sz w:val="20"/>
          <w:szCs w:val="20"/>
        </w:rPr>
      </w:pPr>
      <w:r w:rsidRPr="00C603B8">
        <w:rPr>
          <w:rFonts w:ascii="Arial" w:eastAsia="Arial" w:hAnsi="Arial" w:cs="Arial"/>
          <w:sz w:val="20"/>
          <w:szCs w:val="20"/>
        </w:rPr>
        <w:t xml:space="preserve">World Health Organization. (n.d.). </w:t>
      </w:r>
      <w:r w:rsidRPr="00C603B8">
        <w:rPr>
          <w:rFonts w:ascii="Arial" w:eastAsia="Arial" w:hAnsi="Arial" w:cs="Arial"/>
          <w:i/>
          <w:iCs/>
          <w:sz w:val="20"/>
          <w:szCs w:val="20"/>
        </w:rPr>
        <w:t xml:space="preserve">World Health Statistics 2018 : monitoring health for the </w:t>
      </w:r>
      <w:r w:rsidRPr="00C603B8">
        <w:rPr>
          <w:rFonts w:ascii="Arial" w:eastAsia="Arial" w:hAnsi="Arial" w:cs="Arial"/>
          <w:i/>
          <w:iCs/>
          <w:sz w:val="20"/>
          <w:szCs w:val="20"/>
        </w:rPr>
        <w:tab/>
        <w:t>SDGs : sustainable development goals.</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t xml:space="preserve">WHO. (2013a). </w:t>
      </w:r>
      <w:r w:rsidRPr="00C603B8">
        <w:rPr>
          <w:rFonts w:ascii="Arial" w:eastAsia="Arial" w:hAnsi="Arial" w:cs="Arial"/>
          <w:i/>
          <w:sz w:val="20"/>
          <w:szCs w:val="20"/>
        </w:rPr>
        <w:t xml:space="preserve">Guideline: Updates on the Management of Severe Acute Malnutrition inInfants </w:t>
      </w:r>
      <w:r w:rsidRPr="00C603B8">
        <w:rPr>
          <w:rFonts w:ascii="Arial" w:eastAsia="Arial" w:hAnsi="Arial" w:cs="Arial"/>
          <w:i/>
          <w:sz w:val="20"/>
          <w:szCs w:val="20"/>
        </w:rPr>
        <w:tab/>
        <w:t xml:space="preserve">and Children. </w:t>
      </w:r>
      <w:r w:rsidRPr="00C603B8">
        <w:rPr>
          <w:rFonts w:ascii="Arial" w:eastAsia="Arial" w:hAnsi="Arial" w:cs="Arial"/>
          <w:sz w:val="20"/>
          <w:szCs w:val="20"/>
        </w:rPr>
        <w:t>Geneva: World Health Organization. Retrieved from</w:t>
      </w:r>
      <w:r w:rsidRPr="00C603B8">
        <w:rPr>
          <w:rFonts w:ascii="Arial" w:eastAsia="Arial" w:hAnsi="Arial" w:cs="Arial"/>
          <w:i/>
          <w:sz w:val="20"/>
          <w:szCs w:val="20"/>
        </w:rPr>
        <w:tab/>
      </w:r>
      <w:r w:rsidRPr="00C603B8">
        <w:rPr>
          <w:rFonts w:ascii="Arial" w:eastAsia="Arial" w:hAnsi="Arial" w:cs="Arial"/>
          <w:sz w:val="20"/>
          <w:szCs w:val="20"/>
        </w:rPr>
        <w:t xml:space="preserve">http://www.cmamforum.org/Pool/Resources/WHO-guidelines-on-SAM-2013.pdfWu, W., Li, C., Kuo, C., Chiang, Y., &amp; Lee, M. (2016). The growth and development of </w:t>
      </w:r>
      <w:r w:rsidRPr="00C603B8">
        <w:rPr>
          <w:rFonts w:ascii="Arial" w:eastAsia="Arial" w:hAnsi="Arial" w:cs="Arial"/>
          <w:sz w:val="20"/>
          <w:szCs w:val="20"/>
        </w:rPr>
        <w:tab/>
        <w:t xml:space="preserve">children born to adolescent mothers in Taiwan. </w:t>
      </w:r>
      <w:r w:rsidRPr="00C603B8">
        <w:rPr>
          <w:rFonts w:ascii="Arial" w:eastAsia="Arial" w:hAnsi="Arial" w:cs="Arial"/>
          <w:i/>
          <w:iCs/>
          <w:sz w:val="20"/>
          <w:szCs w:val="20"/>
        </w:rPr>
        <w:t>Italian Journal of Pediatrics</w:t>
      </w:r>
      <w:r w:rsidRPr="00C603B8">
        <w:rPr>
          <w:rFonts w:ascii="Arial" w:eastAsia="Arial" w:hAnsi="Arial" w:cs="Arial"/>
          <w:sz w:val="20"/>
          <w:szCs w:val="20"/>
        </w:rPr>
        <w:t xml:space="preserve">, 1–6. </w:t>
      </w:r>
      <w:r w:rsidRPr="00C603B8">
        <w:rPr>
          <w:rFonts w:ascii="Arial" w:eastAsia="Arial" w:hAnsi="Arial" w:cs="Arial"/>
          <w:sz w:val="20"/>
          <w:szCs w:val="20"/>
        </w:rPr>
        <w:tab/>
        <w:t>https://doi.org/10.1186/s13052-016-0280-5</w:t>
      </w:r>
    </w:p>
    <w:p w:rsidR="00C603B8" w:rsidRPr="00C603B8" w:rsidRDefault="00C603B8" w:rsidP="00C603B8">
      <w:pPr>
        <w:spacing w:line="241" w:lineRule="auto"/>
        <w:ind w:left="860" w:right="20" w:hanging="719"/>
        <w:jc w:val="both"/>
        <w:rPr>
          <w:rFonts w:ascii="Arial" w:eastAsia="Arial" w:hAnsi="Arial" w:cs="Arial"/>
          <w:sz w:val="20"/>
          <w:szCs w:val="20"/>
        </w:rPr>
      </w:pPr>
      <w:r w:rsidRPr="00C603B8">
        <w:rPr>
          <w:rFonts w:ascii="Arial" w:eastAsia="Arial" w:hAnsi="Arial" w:cs="Arial"/>
          <w:sz w:val="20"/>
          <w:szCs w:val="20"/>
        </w:rPr>
        <w:fldChar w:fldCharType="end"/>
      </w:r>
      <w:r w:rsidRPr="00C603B8">
        <w:rPr>
          <w:rFonts w:ascii="Arial" w:eastAsia="Arial" w:hAnsi="Arial" w:cs="Arial"/>
          <w:sz w:val="20"/>
          <w:szCs w:val="20"/>
        </w:rPr>
        <w:t xml:space="preserve"> Yu, S. H., Mason, J., Crum, J., Cappa, C., &amp; Hotchkiss, D. R. (2016). Differential effects of </w:t>
      </w:r>
      <w:r w:rsidRPr="00C603B8">
        <w:rPr>
          <w:rFonts w:ascii="Arial" w:eastAsia="Arial" w:hAnsi="Arial" w:cs="Arial"/>
          <w:sz w:val="20"/>
          <w:szCs w:val="20"/>
        </w:rPr>
        <w:tab/>
        <w:t>young maternal age on child growth. </w:t>
      </w:r>
      <w:r w:rsidRPr="00C603B8">
        <w:rPr>
          <w:rFonts w:ascii="Arial" w:eastAsia="Arial" w:hAnsi="Arial" w:cs="Arial"/>
          <w:i/>
          <w:iCs/>
          <w:sz w:val="20"/>
          <w:szCs w:val="20"/>
        </w:rPr>
        <w:t>Global health action</w:t>
      </w:r>
      <w:r w:rsidRPr="00C603B8">
        <w:rPr>
          <w:rFonts w:ascii="Arial" w:eastAsia="Arial" w:hAnsi="Arial" w:cs="Arial"/>
          <w:sz w:val="20"/>
          <w:szCs w:val="20"/>
        </w:rPr>
        <w:t>, </w:t>
      </w:r>
      <w:r w:rsidRPr="00C603B8">
        <w:rPr>
          <w:rFonts w:ascii="Arial" w:eastAsia="Arial" w:hAnsi="Arial" w:cs="Arial"/>
          <w:i/>
          <w:iCs/>
          <w:sz w:val="20"/>
          <w:szCs w:val="20"/>
        </w:rPr>
        <w:t>9</w:t>
      </w:r>
      <w:r w:rsidRPr="00C603B8">
        <w:rPr>
          <w:rFonts w:ascii="Arial" w:eastAsia="Arial" w:hAnsi="Arial" w:cs="Arial"/>
          <w:sz w:val="20"/>
          <w:szCs w:val="20"/>
        </w:rPr>
        <w:t>(1), 31171.</w:t>
      </w:r>
    </w:p>
    <w:p w:rsidR="00C322FF" w:rsidRDefault="00C322FF" w:rsidP="00C603B8">
      <w:pPr>
        <w:spacing w:line="241" w:lineRule="auto"/>
        <w:ind w:left="860" w:right="20" w:hanging="719"/>
        <w:jc w:val="both"/>
        <w:rPr>
          <w:sz w:val="20"/>
          <w:szCs w:val="20"/>
        </w:rPr>
      </w:pPr>
    </w:p>
    <w:sectPr w:rsidR="00C322FF" w:rsidSect="00C603B8">
      <w:headerReference w:type="default" r:id="rId8"/>
      <w:pgSz w:w="11900" w:h="16840"/>
      <w:pgMar w:top="696" w:right="1440" w:bottom="516" w:left="1440" w:header="0" w:footer="0" w:gutter="0"/>
      <w:cols w:space="720" w:equalWidth="0">
        <w:col w:w="90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746" w:rsidRDefault="00B77746" w:rsidP="00C603B8">
      <w:r>
        <w:separator/>
      </w:r>
    </w:p>
  </w:endnote>
  <w:endnote w:type="continuationSeparator" w:id="1">
    <w:p w:rsidR="00B77746" w:rsidRDefault="00B77746" w:rsidP="00C60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746" w:rsidRDefault="00B77746" w:rsidP="00C603B8">
      <w:r>
        <w:separator/>
      </w:r>
    </w:p>
  </w:footnote>
  <w:footnote w:type="continuationSeparator" w:id="1">
    <w:p w:rsidR="00B77746" w:rsidRDefault="00B77746" w:rsidP="00C60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3B8" w:rsidRDefault="002518B9">
    <w:pPr>
      <w:pStyle w:val="Header"/>
    </w:pPr>
    <w:r>
      <w:rPr>
        <w:noProof/>
      </w:rPr>
      <w:drawing>
        <wp:anchor distT="0" distB="0" distL="114935" distR="114935" simplePos="0" relativeHeight="251660288" behindDoc="0" locked="0" layoutInCell="1" allowOverlap="1">
          <wp:simplePos x="0" y="0"/>
          <wp:positionH relativeFrom="column">
            <wp:posOffset>76200</wp:posOffset>
          </wp:positionH>
          <wp:positionV relativeFrom="page">
            <wp:posOffset>85725</wp:posOffset>
          </wp:positionV>
          <wp:extent cx="447675" cy="504825"/>
          <wp:effectExtent l="19050" t="0" r="952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57" t="-139" r="-157" b="-139"/>
                  <a:stretch>
                    <a:fillRect/>
                  </a:stretch>
                </pic:blipFill>
                <pic:spPr bwMode="auto">
                  <a:xfrm>
                    <a:off x="0" y="0"/>
                    <a:ext cx="447675" cy="504825"/>
                  </a:xfrm>
                  <a:prstGeom prst="rect">
                    <a:avLst/>
                  </a:prstGeom>
                  <a:solidFill>
                    <a:srgbClr val="FFFFFF">
                      <a:alpha val="0"/>
                    </a:srgbClr>
                  </a:solidFill>
                  <a:ln w="9525">
                    <a:noFill/>
                    <a:miter lim="800000"/>
                    <a:headEnd/>
                    <a:tailEnd/>
                  </a:ln>
                </pic:spPr>
              </pic:pic>
            </a:graphicData>
          </a:graphic>
        </wp:anchor>
      </w:drawing>
    </w:r>
  </w:p>
  <w:p w:rsidR="002518B9" w:rsidRDefault="002518B9" w:rsidP="002518B9">
    <w:pPr>
      <w:pStyle w:val="Header"/>
      <w:ind w:left="1440"/>
      <w:rPr>
        <w:i/>
      </w:rPr>
    </w:pPr>
    <w:r>
      <w:rPr>
        <w:i/>
      </w:rPr>
      <w:t>Proceedings of the Kabarak University International Conference on Translational and Preventive Medicine 16</w:t>
    </w:r>
    <w:r>
      <w:rPr>
        <w:i/>
        <w:vertAlign w:val="superscript"/>
      </w:rPr>
      <w:t>th</w:t>
    </w:r>
    <w:r>
      <w:rPr>
        <w:i/>
      </w:rPr>
      <w:t xml:space="preserve"> and 17</w:t>
    </w:r>
    <w:r>
      <w:rPr>
        <w:i/>
        <w:vertAlign w:val="superscript"/>
      </w:rPr>
      <w:t>th</w:t>
    </w:r>
    <w:r>
      <w:rPr>
        <w:i/>
      </w:rPr>
      <w:t xml:space="preserve"> October 2019 Nakuru, Kenya. </w:t>
    </w:r>
  </w:p>
  <w:p w:rsidR="002518B9" w:rsidRDefault="002518B9" w:rsidP="002518B9">
    <w:pPr>
      <w:pStyle w:val="Header"/>
      <w:ind w:left="1440"/>
    </w:pPr>
  </w:p>
  <w:p w:rsidR="00C603B8" w:rsidRDefault="00C603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E0CC5"/>
    <w:multiLevelType w:val="hybridMultilevel"/>
    <w:tmpl w:val="1570C4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AA186F"/>
    <w:multiLevelType w:val="multilevel"/>
    <w:tmpl w:val="D9123B3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5CB234E"/>
    <w:multiLevelType w:val="hybridMultilevel"/>
    <w:tmpl w:val="63C86F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B141F2"/>
    <w:multiLevelType w:val="hybridMultilevel"/>
    <w:tmpl w:val="7B96BED2"/>
    <w:lvl w:ilvl="0" w:tplc="38D6E128">
      <w:start w:val="1"/>
      <w:numFmt w:val="decimal"/>
      <w:lvlText w:val="%1)"/>
      <w:lvlJc w:val="left"/>
    </w:lvl>
    <w:lvl w:ilvl="1" w:tplc="7F2A02F6">
      <w:numFmt w:val="decimal"/>
      <w:lvlText w:val=""/>
      <w:lvlJc w:val="left"/>
    </w:lvl>
    <w:lvl w:ilvl="2" w:tplc="FBCA09E2">
      <w:numFmt w:val="decimal"/>
      <w:lvlText w:val=""/>
      <w:lvlJc w:val="left"/>
    </w:lvl>
    <w:lvl w:ilvl="3" w:tplc="79148F0A">
      <w:numFmt w:val="decimal"/>
      <w:lvlText w:val=""/>
      <w:lvlJc w:val="left"/>
    </w:lvl>
    <w:lvl w:ilvl="4" w:tplc="F84E4CDA">
      <w:numFmt w:val="decimal"/>
      <w:lvlText w:val=""/>
      <w:lvlJc w:val="left"/>
    </w:lvl>
    <w:lvl w:ilvl="5" w:tplc="D0A6F6D4">
      <w:numFmt w:val="decimal"/>
      <w:lvlText w:val=""/>
      <w:lvlJc w:val="left"/>
    </w:lvl>
    <w:lvl w:ilvl="6" w:tplc="B2141FDE">
      <w:numFmt w:val="decimal"/>
      <w:lvlText w:val=""/>
      <w:lvlJc w:val="left"/>
    </w:lvl>
    <w:lvl w:ilvl="7" w:tplc="0ABC1C76">
      <w:numFmt w:val="decimal"/>
      <w:lvlText w:val=""/>
      <w:lvlJc w:val="left"/>
    </w:lvl>
    <w:lvl w:ilvl="8" w:tplc="5CD00E30">
      <w:numFmt w:val="decimal"/>
      <w:lvlText w:val=""/>
      <w:lvlJc w:val="left"/>
    </w:lvl>
  </w:abstractNum>
  <w:abstractNum w:abstractNumId="4">
    <w:nsid w:val="3D1B58BA"/>
    <w:multiLevelType w:val="hybridMultilevel"/>
    <w:tmpl w:val="CAE8D0F6"/>
    <w:lvl w:ilvl="0" w:tplc="FA88C7A6">
      <w:start w:val="1"/>
      <w:numFmt w:val="decimal"/>
      <w:lvlText w:val="%1)"/>
      <w:lvlJc w:val="left"/>
    </w:lvl>
    <w:lvl w:ilvl="1" w:tplc="AE5EE32E">
      <w:numFmt w:val="decimal"/>
      <w:lvlText w:val=""/>
      <w:lvlJc w:val="left"/>
    </w:lvl>
    <w:lvl w:ilvl="2" w:tplc="EA38021C">
      <w:numFmt w:val="decimal"/>
      <w:lvlText w:val=""/>
      <w:lvlJc w:val="left"/>
    </w:lvl>
    <w:lvl w:ilvl="3" w:tplc="32A089A6">
      <w:numFmt w:val="decimal"/>
      <w:lvlText w:val=""/>
      <w:lvlJc w:val="left"/>
    </w:lvl>
    <w:lvl w:ilvl="4" w:tplc="3E34AEC8">
      <w:numFmt w:val="decimal"/>
      <w:lvlText w:val=""/>
      <w:lvlJc w:val="left"/>
    </w:lvl>
    <w:lvl w:ilvl="5" w:tplc="B8A65678">
      <w:numFmt w:val="decimal"/>
      <w:lvlText w:val=""/>
      <w:lvlJc w:val="left"/>
    </w:lvl>
    <w:lvl w:ilvl="6" w:tplc="ABDA4392">
      <w:numFmt w:val="decimal"/>
      <w:lvlText w:val=""/>
      <w:lvlJc w:val="left"/>
    </w:lvl>
    <w:lvl w:ilvl="7" w:tplc="B5E80E10">
      <w:numFmt w:val="decimal"/>
      <w:lvlText w:val=""/>
      <w:lvlJc w:val="left"/>
    </w:lvl>
    <w:lvl w:ilvl="8" w:tplc="D9088300">
      <w:numFmt w:val="decimal"/>
      <w:lvlText w:val=""/>
      <w:lvlJc w:val="left"/>
    </w:lvl>
  </w:abstractNum>
  <w:abstractNum w:abstractNumId="5">
    <w:nsid w:val="41B71EFB"/>
    <w:multiLevelType w:val="hybridMultilevel"/>
    <w:tmpl w:val="BCBCF6F4"/>
    <w:lvl w:ilvl="0" w:tplc="AD422A92">
      <w:start w:val="7"/>
      <w:numFmt w:val="decimal"/>
      <w:lvlText w:val="%1)"/>
      <w:lvlJc w:val="left"/>
    </w:lvl>
    <w:lvl w:ilvl="1" w:tplc="7B80679E">
      <w:numFmt w:val="decimal"/>
      <w:lvlText w:val=""/>
      <w:lvlJc w:val="left"/>
    </w:lvl>
    <w:lvl w:ilvl="2" w:tplc="6EC05454">
      <w:numFmt w:val="decimal"/>
      <w:lvlText w:val=""/>
      <w:lvlJc w:val="left"/>
    </w:lvl>
    <w:lvl w:ilvl="3" w:tplc="92E28D86">
      <w:numFmt w:val="decimal"/>
      <w:lvlText w:val=""/>
      <w:lvlJc w:val="left"/>
    </w:lvl>
    <w:lvl w:ilvl="4" w:tplc="EAAC8BD0">
      <w:numFmt w:val="decimal"/>
      <w:lvlText w:val=""/>
      <w:lvlJc w:val="left"/>
    </w:lvl>
    <w:lvl w:ilvl="5" w:tplc="29BC9FC6">
      <w:numFmt w:val="decimal"/>
      <w:lvlText w:val=""/>
      <w:lvlJc w:val="left"/>
    </w:lvl>
    <w:lvl w:ilvl="6" w:tplc="E95890B6">
      <w:numFmt w:val="decimal"/>
      <w:lvlText w:val=""/>
      <w:lvlJc w:val="left"/>
    </w:lvl>
    <w:lvl w:ilvl="7" w:tplc="06066230">
      <w:numFmt w:val="decimal"/>
      <w:lvlText w:val=""/>
      <w:lvlJc w:val="left"/>
    </w:lvl>
    <w:lvl w:ilvl="8" w:tplc="22F6B59A">
      <w:numFmt w:val="decimal"/>
      <w:lvlText w:val=""/>
      <w:lvlJc w:val="left"/>
    </w:lvl>
  </w:abstractNum>
  <w:abstractNum w:abstractNumId="6">
    <w:nsid w:val="46E87CCD"/>
    <w:multiLevelType w:val="hybridMultilevel"/>
    <w:tmpl w:val="86F4B44A"/>
    <w:lvl w:ilvl="0" w:tplc="228E02D0">
      <w:start w:val="1"/>
      <w:numFmt w:val="decimal"/>
      <w:lvlText w:val="%1)"/>
      <w:lvlJc w:val="left"/>
    </w:lvl>
    <w:lvl w:ilvl="1" w:tplc="2CD655AC">
      <w:numFmt w:val="decimal"/>
      <w:lvlText w:val=""/>
      <w:lvlJc w:val="left"/>
    </w:lvl>
    <w:lvl w:ilvl="2" w:tplc="0B8C3BAA">
      <w:numFmt w:val="decimal"/>
      <w:lvlText w:val=""/>
      <w:lvlJc w:val="left"/>
    </w:lvl>
    <w:lvl w:ilvl="3" w:tplc="45B83A9E">
      <w:numFmt w:val="decimal"/>
      <w:lvlText w:val=""/>
      <w:lvlJc w:val="left"/>
    </w:lvl>
    <w:lvl w:ilvl="4" w:tplc="30F24018">
      <w:numFmt w:val="decimal"/>
      <w:lvlText w:val=""/>
      <w:lvlJc w:val="left"/>
    </w:lvl>
    <w:lvl w:ilvl="5" w:tplc="2332A102">
      <w:numFmt w:val="decimal"/>
      <w:lvlText w:val=""/>
      <w:lvlJc w:val="left"/>
    </w:lvl>
    <w:lvl w:ilvl="6" w:tplc="485EA7C8">
      <w:numFmt w:val="decimal"/>
      <w:lvlText w:val=""/>
      <w:lvlJc w:val="left"/>
    </w:lvl>
    <w:lvl w:ilvl="7" w:tplc="152C8134">
      <w:numFmt w:val="decimal"/>
      <w:lvlText w:val=""/>
      <w:lvlJc w:val="left"/>
    </w:lvl>
    <w:lvl w:ilvl="8" w:tplc="185C0B46">
      <w:numFmt w:val="decimal"/>
      <w:lvlText w:val=""/>
      <w:lvlJc w:val="left"/>
    </w:lvl>
  </w:abstractNum>
  <w:abstractNum w:abstractNumId="7">
    <w:nsid w:val="507ED7AB"/>
    <w:multiLevelType w:val="hybridMultilevel"/>
    <w:tmpl w:val="4058E9AE"/>
    <w:lvl w:ilvl="0" w:tplc="360A95C4">
      <w:start w:val="1"/>
      <w:numFmt w:val="decimal"/>
      <w:lvlText w:val="%1)"/>
      <w:lvlJc w:val="left"/>
    </w:lvl>
    <w:lvl w:ilvl="1" w:tplc="2A80FDC8">
      <w:numFmt w:val="decimal"/>
      <w:lvlText w:val=""/>
      <w:lvlJc w:val="left"/>
    </w:lvl>
    <w:lvl w:ilvl="2" w:tplc="A1B64FBC">
      <w:numFmt w:val="decimal"/>
      <w:lvlText w:val=""/>
      <w:lvlJc w:val="left"/>
    </w:lvl>
    <w:lvl w:ilvl="3" w:tplc="489008A4">
      <w:numFmt w:val="decimal"/>
      <w:lvlText w:val=""/>
      <w:lvlJc w:val="left"/>
    </w:lvl>
    <w:lvl w:ilvl="4" w:tplc="E6F4B164">
      <w:numFmt w:val="decimal"/>
      <w:lvlText w:val=""/>
      <w:lvlJc w:val="left"/>
    </w:lvl>
    <w:lvl w:ilvl="5" w:tplc="BFFCD60A">
      <w:numFmt w:val="decimal"/>
      <w:lvlText w:val=""/>
      <w:lvlJc w:val="left"/>
    </w:lvl>
    <w:lvl w:ilvl="6" w:tplc="E57A2F12">
      <w:numFmt w:val="decimal"/>
      <w:lvlText w:val=""/>
      <w:lvlJc w:val="left"/>
    </w:lvl>
    <w:lvl w:ilvl="7" w:tplc="0CF6B744">
      <w:numFmt w:val="decimal"/>
      <w:lvlText w:val=""/>
      <w:lvlJc w:val="left"/>
    </w:lvl>
    <w:lvl w:ilvl="8" w:tplc="65747986">
      <w:numFmt w:val="decimal"/>
      <w:lvlText w:val=""/>
      <w:lvlJc w:val="left"/>
    </w:lvl>
  </w:abstractNum>
  <w:abstractNum w:abstractNumId="8">
    <w:nsid w:val="515F007C"/>
    <w:multiLevelType w:val="hybridMultilevel"/>
    <w:tmpl w:val="6BA63612"/>
    <w:lvl w:ilvl="0" w:tplc="C74092CC">
      <w:start w:val="1"/>
      <w:numFmt w:val="decimal"/>
      <w:lvlText w:val="%1)"/>
      <w:lvlJc w:val="left"/>
    </w:lvl>
    <w:lvl w:ilvl="1" w:tplc="1F16F3CC">
      <w:numFmt w:val="decimal"/>
      <w:lvlText w:val=""/>
      <w:lvlJc w:val="left"/>
    </w:lvl>
    <w:lvl w:ilvl="2" w:tplc="8D462824">
      <w:numFmt w:val="decimal"/>
      <w:lvlText w:val=""/>
      <w:lvlJc w:val="left"/>
    </w:lvl>
    <w:lvl w:ilvl="3" w:tplc="355EA8D2">
      <w:numFmt w:val="decimal"/>
      <w:lvlText w:val=""/>
      <w:lvlJc w:val="left"/>
    </w:lvl>
    <w:lvl w:ilvl="4" w:tplc="0326067A">
      <w:numFmt w:val="decimal"/>
      <w:lvlText w:val=""/>
      <w:lvlJc w:val="left"/>
    </w:lvl>
    <w:lvl w:ilvl="5" w:tplc="CC242356">
      <w:numFmt w:val="decimal"/>
      <w:lvlText w:val=""/>
      <w:lvlJc w:val="left"/>
    </w:lvl>
    <w:lvl w:ilvl="6" w:tplc="E806CDAA">
      <w:numFmt w:val="decimal"/>
      <w:lvlText w:val=""/>
      <w:lvlJc w:val="left"/>
    </w:lvl>
    <w:lvl w:ilvl="7" w:tplc="759A093C">
      <w:numFmt w:val="decimal"/>
      <w:lvlText w:val=""/>
      <w:lvlJc w:val="left"/>
    </w:lvl>
    <w:lvl w:ilvl="8" w:tplc="B358B9CE">
      <w:numFmt w:val="decimal"/>
      <w:lvlText w:val=""/>
      <w:lvlJc w:val="left"/>
    </w:lvl>
  </w:abstractNum>
  <w:abstractNum w:abstractNumId="9">
    <w:nsid w:val="5BD062C2"/>
    <w:multiLevelType w:val="hybridMultilevel"/>
    <w:tmpl w:val="BA60632A"/>
    <w:lvl w:ilvl="0" w:tplc="DDF216F6">
      <w:start w:val="1"/>
      <w:numFmt w:val="decimal"/>
      <w:lvlText w:val="%1."/>
      <w:lvlJc w:val="left"/>
    </w:lvl>
    <w:lvl w:ilvl="1" w:tplc="533CB616">
      <w:numFmt w:val="decimal"/>
      <w:lvlText w:val=""/>
      <w:lvlJc w:val="left"/>
    </w:lvl>
    <w:lvl w:ilvl="2" w:tplc="F7006186">
      <w:numFmt w:val="decimal"/>
      <w:lvlText w:val=""/>
      <w:lvlJc w:val="left"/>
    </w:lvl>
    <w:lvl w:ilvl="3" w:tplc="C9E62032">
      <w:numFmt w:val="decimal"/>
      <w:lvlText w:val=""/>
      <w:lvlJc w:val="left"/>
    </w:lvl>
    <w:lvl w:ilvl="4" w:tplc="7E7CBFC4">
      <w:numFmt w:val="decimal"/>
      <w:lvlText w:val=""/>
      <w:lvlJc w:val="left"/>
    </w:lvl>
    <w:lvl w:ilvl="5" w:tplc="6E18040A">
      <w:numFmt w:val="decimal"/>
      <w:lvlText w:val=""/>
      <w:lvlJc w:val="left"/>
    </w:lvl>
    <w:lvl w:ilvl="6" w:tplc="454CECF6">
      <w:numFmt w:val="decimal"/>
      <w:lvlText w:val=""/>
      <w:lvlJc w:val="left"/>
    </w:lvl>
    <w:lvl w:ilvl="7" w:tplc="4738ADD4">
      <w:numFmt w:val="decimal"/>
      <w:lvlText w:val=""/>
      <w:lvlJc w:val="left"/>
    </w:lvl>
    <w:lvl w:ilvl="8" w:tplc="24F89684">
      <w:numFmt w:val="decimal"/>
      <w:lvlText w:val=""/>
      <w:lvlJc w:val="left"/>
    </w:lvl>
  </w:abstractNum>
  <w:abstractNum w:abstractNumId="10">
    <w:nsid w:val="7545E146"/>
    <w:multiLevelType w:val="hybridMultilevel"/>
    <w:tmpl w:val="F5D0DD8A"/>
    <w:lvl w:ilvl="0" w:tplc="A0E4BED6">
      <w:start w:val="2"/>
      <w:numFmt w:val="decimal"/>
      <w:lvlText w:val="%1)"/>
      <w:lvlJc w:val="left"/>
    </w:lvl>
    <w:lvl w:ilvl="1" w:tplc="B4521F04">
      <w:numFmt w:val="decimal"/>
      <w:lvlText w:val=""/>
      <w:lvlJc w:val="left"/>
    </w:lvl>
    <w:lvl w:ilvl="2" w:tplc="27D216E8">
      <w:numFmt w:val="decimal"/>
      <w:lvlText w:val=""/>
      <w:lvlJc w:val="left"/>
    </w:lvl>
    <w:lvl w:ilvl="3" w:tplc="2DAED63A">
      <w:numFmt w:val="decimal"/>
      <w:lvlText w:val=""/>
      <w:lvlJc w:val="left"/>
    </w:lvl>
    <w:lvl w:ilvl="4" w:tplc="F8043510">
      <w:numFmt w:val="decimal"/>
      <w:lvlText w:val=""/>
      <w:lvlJc w:val="left"/>
    </w:lvl>
    <w:lvl w:ilvl="5" w:tplc="066219E6">
      <w:numFmt w:val="decimal"/>
      <w:lvlText w:val=""/>
      <w:lvlJc w:val="left"/>
    </w:lvl>
    <w:lvl w:ilvl="6" w:tplc="E098C4E2">
      <w:numFmt w:val="decimal"/>
      <w:lvlText w:val=""/>
      <w:lvlJc w:val="left"/>
    </w:lvl>
    <w:lvl w:ilvl="7" w:tplc="C3A06200">
      <w:numFmt w:val="decimal"/>
      <w:lvlText w:val=""/>
      <w:lvlJc w:val="left"/>
    </w:lvl>
    <w:lvl w:ilvl="8" w:tplc="0D3AEEA8">
      <w:numFmt w:val="decimal"/>
      <w:lvlText w:val=""/>
      <w:lvlJc w:val="left"/>
    </w:lvl>
  </w:abstractNum>
  <w:abstractNum w:abstractNumId="11">
    <w:nsid w:val="79E2A9E3"/>
    <w:multiLevelType w:val="hybridMultilevel"/>
    <w:tmpl w:val="59742592"/>
    <w:lvl w:ilvl="0" w:tplc="CBC60D98">
      <w:start w:val="1"/>
      <w:numFmt w:val="decimal"/>
      <w:lvlText w:val="%1)"/>
      <w:lvlJc w:val="left"/>
    </w:lvl>
    <w:lvl w:ilvl="1" w:tplc="E4AA01A0">
      <w:numFmt w:val="decimal"/>
      <w:lvlText w:val=""/>
      <w:lvlJc w:val="left"/>
    </w:lvl>
    <w:lvl w:ilvl="2" w:tplc="A49458EC">
      <w:numFmt w:val="decimal"/>
      <w:lvlText w:val=""/>
      <w:lvlJc w:val="left"/>
    </w:lvl>
    <w:lvl w:ilvl="3" w:tplc="E6525754">
      <w:numFmt w:val="decimal"/>
      <w:lvlText w:val=""/>
      <w:lvlJc w:val="left"/>
    </w:lvl>
    <w:lvl w:ilvl="4" w:tplc="A970C5B6">
      <w:numFmt w:val="decimal"/>
      <w:lvlText w:val=""/>
      <w:lvlJc w:val="left"/>
    </w:lvl>
    <w:lvl w:ilvl="5" w:tplc="5238B5C8">
      <w:numFmt w:val="decimal"/>
      <w:lvlText w:val=""/>
      <w:lvlJc w:val="left"/>
    </w:lvl>
    <w:lvl w:ilvl="6" w:tplc="6616DBF0">
      <w:numFmt w:val="decimal"/>
      <w:lvlText w:val=""/>
      <w:lvlJc w:val="left"/>
    </w:lvl>
    <w:lvl w:ilvl="7" w:tplc="2DF4307E">
      <w:numFmt w:val="decimal"/>
      <w:lvlText w:val=""/>
      <w:lvlJc w:val="left"/>
    </w:lvl>
    <w:lvl w:ilvl="8" w:tplc="D3168050">
      <w:numFmt w:val="decimal"/>
      <w:lvlText w:val=""/>
      <w:lvlJc w:val="left"/>
    </w:lvl>
  </w:abstractNum>
  <w:num w:numId="1">
    <w:abstractNumId w:val="6"/>
  </w:num>
  <w:num w:numId="2">
    <w:abstractNumId w:val="4"/>
  </w:num>
  <w:num w:numId="3">
    <w:abstractNumId w:val="7"/>
  </w:num>
  <w:num w:numId="4">
    <w:abstractNumId w:val="3"/>
  </w:num>
  <w:num w:numId="5">
    <w:abstractNumId w:val="5"/>
  </w:num>
  <w:num w:numId="6">
    <w:abstractNumId w:val="11"/>
  </w:num>
  <w:num w:numId="7">
    <w:abstractNumId w:val="10"/>
  </w:num>
  <w:num w:numId="8">
    <w:abstractNumId w:val="8"/>
  </w:num>
  <w:num w:numId="9">
    <w:abstractNumId w:val="9"/>
  </w:num>
  <w:num w:numId="10">
    <w:abstractNumId w:val="2"/>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C322FF"/>
    <w:rsid w:val="00246985"/>
    <w:rsid w:val="002518B9"/>
    <w:rsid w:val="00284D30"/>
    <w:rsid w:val="00495366"/>
    <w:rsid w:val="0050404F"/>
    <w:rsid w:val="005F2AEF"/>
    <w:rsid w:val="0061678D"/>
    <w:rsid w:val="00A77A8B"/>
    <w:rsid w:val="00B77746"/>
    <w:rsid w:val="00C322FF"/>
    <w:rsid w:val="00C603B8"/>
    <w:rsid w:val="00F96342"/>
    <w:rsid w:val="00FA5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F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03B8"/>
    <w:pPr>
      <w:tabs>
        <w:tab w:val="center" w:pos="4680"/>
        <w:tab w:val="right" w:pos="9360"/>
      </w:tabs>
    </w:pPr>
  </w:style>
  <w:style w:type="character" w:customStyle="1" w:styleId="HeaderChar">
    <w:name w:val="Header Char"/>
    <w:basedOn w:val="DefaultParagraphFont"/>
    <w:link w:val="Header"/>
    <w:uiPriority w:val="99"/>
    <w:semiHidden/>
    <w:rsid w:val="00C603B8"/>
  </w:style>
  <w:style w:type="paragraph" w:styleId="Footer">
    <w:name w:val="footer"/>
    <w:basedOn w:val="Normal"/>
    <w:link w:val="FooterChar"/>
    <w:uiPriority w:val="99"/>
    <w:semiHidden/>
    <w:unhideWhenUsed/>
    <w:rsid w:val="00C603B8"/>
    <w:pPr>
      <w:tabs>
        <w:tab w:val="center" w:pos="4680"/>
        <w:tab w:val="right" w:pos="9360"/>
      </w:tabs>
    </w:pPr>
  </w:style>
  <w:style w:type="character" w:customStyle="1" w:styleId="FooterChar">
    <w:name w:val="Footer Char"/>
    <w:basedOn w:val="DefaultParagraphFont"/>
    <w:link w:val="Footer"/>
    <w:uiPriority w:val="99"/>
    <w:semiHidden/>
    <w:rsid w:val="00C603B8"/>
  </w:style>
  <w:style w:type="table" w:styleId="LightShading-Accent3">
    <w:name w:val="Light Shading Accent 3"/>
    <w:basedOn w:val="TableNormal"/>
    <w:uiPriority w:val="60"/>
    <w:rsid w:val="0024698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BE25C-BA20-48A2-80D9-78F528DD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12372</Words>
  <Characters>70524</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BRIGID CHEBET</cp:lastModifiedBy>
  <cp:revision>2</cp:revision>
  <dcterms:created xsi:type="dcterms:W3CDTF">2019-09-11T09:29:00Z</dcterms:created>
  <dcterms:modified xsi:type="dcterms:W3CDTF">2019-09-11T09:29:00Z</dcterms:modified>
</cp:coreProperties>
</file>