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5DD" w:rsidRPr="001C13FD" w:rsidRDefault="007C65DD" w:rsidP="007C65DD">
      <w:pPr>
        <w:jc w:val="center"/>
        <w:rPr>
          <w:b/>
          <w:sz w:val="28"/>
          <w:szCs w:val="28"/>
        </w:rPr>
      </w:pPr>
      <w:r w:rsidRPr="001C13FD">
        <w:rPr>
          <w:b/>
          <w:sz w:val="28"/>
          <w:szCs w:val="28"/>
        </w:rPr>
        <w:t>EFFECTS OF PROFITABILITY ON CORPORATE CASH HOLDINGS OF COMMERCIAL BANKS IN KENYA</w:t>
      </w:r>
    </w:p>
    <w:p w:rsidR="007C65DD" w:rsidRDefault="007C65DD" w:rsidP="007C65DD">
      <w:pPr>
        <w:jc w:val="center"/>
        <w:rPr>
          <w:szCs w:val="24"/>
        </w:rPr>
      </w:pPr>
    </w:p>
    <w:p w:rsidR="007C65DD" w:rsidRDefault="007C65DD" w:rsidP="007C65DD">
      <w:pPr>
        <w:jc w:val="center"/>
        <w:rPr>
          <w:szCs w:val="24"/>
          <w:vertAlign w:val="superscript"/>
        </w:rPr>
      </w:pPr>
      <w:r>
        <w:rPr>
          <w:szCs w:val="24"/>
        </w:rPr>
        <w:t>Noah Kiplagat</w:t>
      </w:r>
      <w:r>
        <w:rPr>
          <w:szCs w:val="24"/>
          <w:vertAlign w:val="superscript"/>
        </w:rPr>
        <w:t>1*</w:t>
      </w:r>
      <w:r>
        <w:rPr>
          <w:szCs w:val="24"/>
        </w:rPr>
        <w:t>, Patrick Kibati</w:t>
      </w:r>
      <w:r>
        <w:rPr>
          <w:szCs w:val="24"/>
          <w:vertAlign w:val="superscript"/>
        </w:rPr>
        <w:t>1</w:t>
      </w:r>
      <w:r>
        <w:rPr>
          <w:szCs w:val="24"/>
        </w:rPr>
        <w:t>, Bowen C. Jeptepkeny</w:t>
      </w:r>
      <w:r>
        <w:rPr>
          <w:szCs w:val="24"/>
          <w:vertAlign w:val="superscript"/>
        </w:rPr>
        <w:t>2</w:t>
      </w:r>
    </w:p>
    <w:p w:rsidR="007C65DD" w:rsidRDefault="007C65DD" w:rsidP="007C65DD">
      <w:pPr>
        <w:jc w:val="center"/>
        <w:rPr>
          <w:bCs/>
          <w:szCs w:val="24"/>
          <w:lang w:eastAsia="x-none"/>
        </w:rPr>
      </w:pPr>
      <w:r>
        <w:rPr>
          <w:bCs/>
          <w:szCs w:val="24"/>
          <w:vertAlign w:val="superscript"/>
          <w:lang w:eastAsia="x-none"/>
        </w:rPr>
        <w:t>1, 2</w:t>
      </w:r>
      <w:r>
        <w:rPr>
          <w:bCs/>
          <w:szCs w:val="24"/>
          <w:lang w:eastAsia="x-none"/>
        </w:rPr>
        <w:t>Kabarak University, School of Business &amp; Economics, P.O. private Bag-20157, Kabarak, Kenya</w:t>
      </w:r>
    </w:p>
    <w:p w:rsidR="007C65DD" w:rsidRPr="009C6B5D" w:rsidRDefault="007C65DD" w:rsidP="007C65DD">
      <w:pPr>
        <w:jc w:val="center"/>
        <w:rPr>
          <w:szCs w:val="24"/>
        </w:rPr>
      </w:pPr>
      <w:r>
        <w:rPr>
          <w:szCs w:val="24"/>
          <w:vertAlign w:val="superscript"/>
        </w:rPr>
        <w:t>*</w:t>
      </w:r>
      <w:r w:rsidRPr="009C6B5D">
        <w:rPr>
          <w:szCs w:val="24"/>
        </w:rPr>
        <w:t xml:space="preserve">Author email: </w:t>
      </w:r>
      <w:r w:rsidRPr="009C6B5D">
        <w:rPr>
          <w:szCs w:val="24"/>
          <w:shd w:val="clear" w:color="auto" w:fill="FFFFFF"/>
        </w:rPr>
        <w:t>noahkipla@gmail.com</w:t>
      </w:r>
    </w:p>
    <w:p w:rsidR="007C65DD" w:rsidRPr="002C070E" w:rsidRDefault="00602FF7" w:rsidP="007C65DD">
      <w:pPr>
        <w:rPr>
          <w:b/>
          <w:szCs w:val="24"/>
        </w:rPr>
      </w:pPr>
      <w:r w:rsidRPr="002C070E">
        <w:rPr>
          <w:b/>
          <w:szCs w:val="24"/>
        </w:rPr>
        <w:t>Abstract</w:t>
      </w:r>
      <w:r w:rsidR="007C65DD" w:rsidRPr="002C070E">
        <w:rPr>
          <w:b/>
          <w:szCs w:val="24"/>
        </w:rPr>
        <w:t>:</w:t>
      </w:r>
    </w:p>
    <w:p w:rsidR="007C65DD" w:rsidRPr="00A36F23" w:rsidRDefault="007C65DD" w:rsidP="00175E1A">
      <w:pPr>
        <w:spacing w:line="360" w:lineRule="auto"/>
        <w:jc w:val="both"/>
        <w:rPr>
          <w:rFonts w:eastAsia="Calibri"/>
          <w:b/>
          <w:szCs w:val="24"/>
        </w:rPr>
      </w:pPr>
      <w:r w:rsidRPr="00F65C6B">
        <w:rPr>
          <w:rFonts w:eastAsia="Calibri"/>
          <w:szCs w:val="24"/>
        </w:rPr>
        <w:t xml:space="preserve">The profitability of </w:t>
      </w:r>
      <w:r>
        <w:rPr>
          <w:rFonts w:eastAsia="Calibri"/>
          <w:szCs w:val="24"/>
        </w:rPr>
        <w:t xml:space="preserve">commercial </w:t>
      </w:r>
      <w:r w:rsidRPr="00F65C6B">
        <w:rPr>
          <w:rFonts w:eastAsia="Calibri"/>
          <w:szCs w:val="24"/>
        </w:rPr>
        <w:t xml:space="preserve">banks </w:t>
      </w:r>
      <w:r>
        <w:rPr>
          <w:rFonts w:eastAsia="Calibri"/>
          <w:szCs w:val="24"/>
        </w:rPr>
        <w:t xml:space="preserve">in Kenya </w:t>
      </w:r>
      <w:r w:rsidRPr="00F65C6B">
        <w:rPr>
          <w:rFonts w:eastAsia="Calibri"/>
          <w:szCs w:val="24"/>
        </w:rPr>
        <w:t>is important to the creditor</w:t>
      </w:r>
      <w:r w:rsidR="00156E47">
        <w:rPr>
          <w:rFonts w:eastAsia="Calibri"/>
          <w:szCs w:val="24"/>
        </w:rPr>
        <w:t>s, owners, employees and managem</w:t>
      </w:r>
      <w:r w:rsidRPr="00F65C6B">
        <w:rPr>
          <w:rFonts w:eastAsia="Calibri"/>
          <w:szCs w:val="24"/>
        </w:rPr>
        <w:t xml:space="preserve">ent. </w:t>
      </w:r>
      <w:r>
        <w:rPr>
          <w:szCs w:val="24"/>
        </w:rPr>
        <w:t xml:space="preserve">This study aimed at </w:t>
      </w:r>
      <w:r w:rsidRPr="002C070E">
        <w:rPr>
          <w:szCs w:val="24"/>
        </w:rPr>
        <w:t>assess</w:t>
      </w:r>
      <w:r>
        <w:rPr>
          <w:szCs w:val="24"/>
        </w:rPr>
        <w:t>ing</w:t>
      </w:r>
      <w:r w:rsidRPr="002C070E">
        <w:rPr>
          <w:szCs w:val="24"/>
        </w:rPr>
        <w:t xml:space="preserve"> the </w:t>
      </w:r>
      <w:r>
        <w:rPr>
          <w:szCs w:val="24"/>
        </w:rPr>
        <w:t>effect of profitability on the c</w:t>
      </w:r>
      <w:r w:rsidRPr="002C070E">
        <w:rPr>
          <w:szCs w:val="24"/>
        </w:rPr>
        <w:t>orporate cash</w:t>
      </w:r>
      <w:r>
        <w:rPr>
          <w:szCs w:val="24"/>
        </w:rPr>
        <w:t xml:space="preserve"> h</w:t>
      </w:r>
      <w:r w:rsidRPr="002C070E">
        <w:rPr>
          <w:szCs w:val="24"/>
        </w:rPr>
        <w:t>oldings of Commercial Banks in Kenya.</w:t>
      </w:r>
      <w:r w:rsidRPr="002C070E">
        <w:rPr>
          <w:rFonts w:eastAsia="Calibri"/>
          <w:szCs w:val="24"/>
        </w:rPr>
        <w:t xml:space="preserve"> </w:t>
      </w:r>
      <w:r>
        <w:rPr>
          <w:rFonts w:eastAsia="Calibri"/>
          <w:szCs w:val="24"/>
        </w:rPr>
        <w:t xml:space="preserve"> M</w:t>
      </w:r>
      <w:r w:rsidRPr="002C070E">
        <w:rPr>
          <w:szCs w:val="24"/>
        </w:rPr>
        <w:t>easures of profitability</w:t>
      </w:r>
      <w:r>
        <w:rPr>
          <w:szCs w:val="24"/>
        </w:rPr>
        <w:t xml:space="preserve"> in</w:t>
      </w:r>
      <w:r w:rsidRPr="002C070E">
        <w:rPr>
          <w:szCs w:val="24"/>
        </w:rPr>
        <w:t xml:space="preserve"> this study</w:t>
      </w:r>
      <w:r>
        <w:rPr>
          <w:szCs w:val="24"/>
        </w:rPr>
        <w:t xml:space="preserve"> was the return on assets.  </w:t>
      </w:r>
      <w:r w:rsidRPr="00C23CB4">
        <w:rPr>
          <w:rFonts w:eastAsia="Calibri"/>
        </w:rPr>
        <w:t xml:space="preserve">The </w:t>
      </w:r>
      <w:r>
        <w:rPr>
          <w:rFonts w:eastAsia="Calibri"/>
        </w:rPr>
        <w:t xml:space="preserve">study was guided by </w:t>
      </w:r>
      <w:r w:rsidR="008665E8">
        <w:rPr>
          <w:rFonts w:eastAsia="Calibri"/>
        </w:rPr>
        <w:t>signalling theory and pecking order theory</w:t>
      </w:r>
      <w:r w:rsidRPr="00C23CB4">
        <w:rPr>
          <w:rFonts w:eastAsia="Calibri"/>
        </w:rPr>
        <w:t>.</w:t>
      </w:r>
      <w:r>
        <w:rPr>
          <w:rFonts w:eastAsia="Calibri"/>
        </w:rPr>
        <w:t xml:space="preserve"> </w:t>
      </w:r>
      <w:r w:rsidRPr="00D64D1D">
        <w:rPr>
          <w:rFonts w:eastAsia="Calibri"/>
        </w:rPr>
        <w:t>The population of the study comprised of all commercial banks registered and licensed to operate in Kenya as at 31st December 2017. This study adopted a census survey method where all the commercial banks were analyzed. This study heavily relied on secondary data which was obtained from annual reports issued by the CBK Bank Supervision unit. The researcher used the data collection sheet where all the variables were entered after extraction from the financial statements of the banks. This was followed by a data summarization and subsequent data cleaning to ensure that data was ready for analysis.</w:t>
      </w:r>
      <w:r>
        <w:rPr>
          <w:rFonts w:eastAsia="Calibri"/>
        </w:rPr>
        <w:t xml:space="preserve">  </w:t>
      </w:r>
      <w:r w:rsidRPr="00D64D1D">
        <w:rPr>
          <w:rFonts w:eastAsia="Calibri"/>
        </w:rPr>
        <w:t>A ten-year (2008-2017) data was considered.</w:t>
      </w:r>
      <w:r>
        <w:rPr>
          <w:rFonts w:eastAsia="Calibri"/>
        </w:rPr>
        <w:t xml:space="preserve">  </w:t>
      </w:r>
      <w:r w:rsidRPr="00D64D1D">
        <w:rPr>
          <w:szCs w:val="24"/>
        </w:rPr>
        <w:t xml:space="preserve">Descriptive and inferential statistics were </w:t>
      </w:r>
      <w:r>
        <w:rPr>
          <w:szCs w:val="24"/>
        </w:rPr>
        <w:t xml:space="preserve">adopted </w:t>
      </w:r>
      <w:r w:rsidRPr="00D64D1D">
        <w:rPr>
          <w:szCs w:val="24"/>
        </w:rPr>
        <w:t xml:space="preserve">in analysing data through the multiple linear regression by using of Stata software, and Statistical Package for Social Sciences.  The </w:t>
      </w:r>
      <w:r>
        <w:rPr>
          <w:szCs w:val="24"/>
        </w:rPr>
        <w:t xml:space="preserve">data </w:t>
      </w:r>
      <w:r w:rsidRPr="00D64D1D">
        <w:rPr>
          <w:szCs w:val="24"/>
        </w:rPr>
        <w:t xml:space="preserve">analysed was presented </w:t>
      </w:r>
      <w:r>
        <w:rPr>
          <w:szCs w:val="24"/>
        </w:rPr>
        <w:t>using f</w:t>
      </w:r>
      <w:r w:rsidRPr="00D64D1D">
        <w:rPr>
          <w:szCs w:val="24"/>
        </w:rPr>
        <w:t xml:space="preserve">requency tables, pie charts, graphs and percentages.  </w:t>
      </w:r>
      <w:r>
        <w:rPr>
          <w:szCs w:val="24"/>
        </w:rPr>
        <w:t xml:space="preserve">The results indicated that </w:t>
      </w:r>
      <w:r w:rsidRPr="002C070E">
        <w:rPr>
          <w:szCs w:val="24"/>
        </w:rPr>
        <w:t xml:space="preserve">profitability of the firms exert a positive effect on corporate cash holdings. Profitability in commercial banks affects corporate cash holdings of the commercial banks to a very great extent. </w:t>
      </w:r>
      <w:r>
        <w:rPr>
          <w:szCs w:val="24"/>
        </w:rPr>
        <w:t>The results shows that i</w:t>
      </w:r>
      <w:r w:rsidRPr="002C070E">
        <w:rPr>
          <w:szCs w:val="24"/>
        </w:rPr>
        <w:t>nvesting in cash and marketable securities results into a firm foregoing investment in more productive assets generat</w:t>
      </w:r>
      <w:r>
        <w:rPr>
          <w:szCs w:val="24"/>
        </w:rPr>
        <w:t>e</w:t>
      </w:r>
      <w:r w:rsidRPr="002C070E">
        <w:rPr>
          <w:szCs w:val="24"/>
        </w:rPr>
        <w:t xml:space="preserve"> opportunity costs.</w:t>
      </w:r>
      <w:r w:rsidRPr="002C070E">
        <w:rPr>
          <w:rFonts w:eastAsia="Calibri"/>
          <w:szCs w:val="24"/>
        </w:rPr>
        <w:t xml:space="preserve"> </w:t>
      </w:r>
      <w:r w:rsidRPr="002C070E">
        <w:rPr>
          <w:szCs w:val="24"/>
        </w:rPr>
        <w:t>Firms</w:t>
      </w:r>
      <w:r>
        <w:rPr>
          <w:szCs w:val="24"/>
        </w:rPr>
        <w:t xml:space="preserve"> therefore,</w:t>
      </w:r>
      <w:r w:rsidRPr="002C070E">
        <w:rPr>
          <w:szCs w:val="24"/>
        </w:rPr>
        <w:t xml:space="preserve"> hold cash because raising funds in capital markets is costlier than having retained earnings. </w:t>
      </w:r>
      <w:r>
        <w:rPr>
          <w:szCs w:val="24"/>
        </w:rPr>
        <w:t xml:space="preserve">The study thus recommended </w:t>
      </w:r>
      <w:r w:rsidRPr="00A36F23">
        <w:rPr>
          <w:rFonts w:eastAsia="Calibri"/>
          <w:szCs w:val="24"/>
        </w:rPr>
        <w:t xml:space="preserve">that adopting a more traditional </w:t>
      </w:r>
      <w:r>
        <w:rPr>
          <w:rFonts w:eastAsia="Calibri"/>
          <w:szCs w:val="24"/>
        </w:rPr>
        <w:t>model such as</w:t>
      </w:r>
      <w:r w:rsidRPr="00A36F23">
        <w:rPr>
          <w:rFonts w:eastAsia="Calibri"/>
          <w:szCs w:val="24"/>
        </w:rPr>
        <w:t xml:space="preserve"> deposit and loan‐based business model allow a bank to optimize profits with a lower level of liquid assets.</w:t>
      </w:r>
    </w:p>
    <w:p w:rsidR="007C65DD" w:rsidRDefault="007C65DD" w:rsidP="00175E1A">
      <w:pPr>
        <w:tabs>
          <w:tab w:val="left" w:pos="5040"/>
        </w:tabs>
        <w:spacing w:after="200" w:line="360" w:lineRule="auto"/>
        <w:jc w:val="both"/>
        <w:rPr>
          <w:rFonts w:eastAsia="Calibri"/>
          <w:i/>
        </w:rPr>
      </w:pPr>
      <w:r w:rsidRPr="00FC1AA9">
        <w:rPr>
          <w:rFonts w:eastAsia="Calibri"/>
          <w:b/>
        </w:rPr>
        <w:t>Key Words</w:t>
      </w:r>
      <w:r w:rsidRPr="00FC1AA9">
        <w:rPr>
          <w:rFonts w:eastAsia="Calibri"/>
          <w:i/>
        </w:rPr>
        <w:t>: Cash Holding, Liquidity, Profitability, Net Working Capital, Cash Flows.</w:t>
      </w:r>
    </w:p>
    <w:p w:rsidR="007C65DD" w:rsidRDefault="007C65DD" w:rsidP="007C65DD">
      <w:pPr>
        <w:tabs>
          <w:tab w:val="left" w:pos="5040"/>
        </w:tabs>
        <w:spacing w:after="200"/>
        <w:jc w:val="both"/>
        <w:rPr>
          <w:rFonts w:eastAsia="Calibri"/>
        </w:rPr>
      </w:pPr>
    </w:p>
    <w:p w:rsidR="009B2858" w:rsidRPr="009B2858" w:rsidRDefault="009B2858" w:rsidP="009B2858">
      <w:pPr>
        <w:pStyle w:val="ListNumber"/>
        <w:numPr>
          <w:ilvl w:val="0"/>
          <w:numId w:val="13"/>
        </w:numPr>
        <w:rPr>
          <w:b/>
          <w:sz w:val="28"/>
          <w:szCs w:val="28"/>
        </w:rPr>
      </w:pPr>
      <w:r w:rsidRPr="009B2858">
        <w:rPr>
          <w:b/>
          <w:sz w:val="28"/>
          <w:szCs w:val="28"/>
        </w:rPr>
        <w:t xml:space="preserve">Introduction </w:t>
      </w:r>
    </w:p>
    <w:p w:rsidR="009B2858" w:rsidRDefault="00A53C20" w:rsidP="00A53C20">
      <w:pPr>
        <w:tabs>
          <w:tab w:val="left" w:pos="5040"/>
        </w:tabs>
        <w:spacing w:after="200" w:line="360" w:lineRule="auto"/>
        <w:jc w:val="both"/>
        <w:rPr>
          <w:rFonts w:eastAsia="Calibri"/>
        </w:rPr>
      </w:pPr>
      <w:r w:rsidRPr="00A53C20">
        <w:rPr>
          <w:rFonts w:eastAsia="Calibri"/>
        </w:rPr>
        <w:t xml:space="preserve">Bank profitability globally is of concern to various stakeholders which are creditors, owners, depositors, debtors, investors, regulators, bank managers and the government (Podder, 2012). However, the profitability of commercial banks is dependent on their </w:t>
      </w:r>
      <w:r>
        <w:rPr>
          <w:rFonts w:eastAsia="Calibri"/>
        </w:rPr>
        <w:t xml:space="preserve">cash holding capacity. </w:t>
      </w:r>
      <w:r w:rsidR="00E8407E" w:rsidRPr="00E8407E">
        <w:rPr>
          <w:rFonts w:eastAsia="Calibri"/>
        </w:rPr>
        <w:lastRenderedPageBreak/>
        <w:t>Commercial banks play an important role as financial intermediaries for savers and</w:t>
      </w:r>
      <w:r w:rsidR="00E8407E">
        <w:rPr>
          <w:rFonts w:eastAsia="Calibri"/>
        </w:rPr>
        <w:t xml:space="preserve"> </w:t>
      </w:r>
      <w:r w:rsidR="00E8407E" w:rsidRPr="00E8407E">
        <w:rPr>
          <w:rFonts w:eastAsia="Calibri"/>
        </w:rPr>
        <w:t>borrowers in Kenya.</w:t>
      </w:r>
      <w:r w:rsidR="00E8407E" w:rsidRPr="009B2858">
        <w:rPr>
          <w:rFonts w:eastAsia="Calibri"/>
        </w:rPr>
        <w:t xml:space="preserve"> Commercial</w:t>
      </w:r>
      <w:r w:rsidR="009B2858" w:rsidRPr="009B2858">
        <w:rPr>
          <w:rFonts w:eastAsia="Calibri"/>
        </w:rPr>
        <w:t xml:space="preserve"> banks are important to the financial segment, particularly in developing economies where capital markets are not well developed and strong.</w:t>
      </w:r>
      <w:r w:rsidR="009B2858">
        <w:rPr>
          <w:rFonts w:eastAsia="Calibri"/>
        </w:rPr>
        <w:t xml:space="preserve"> </w:t>
      </w:r>
      <w:r w:rsidR="00E8407E">
        <w:rPr>
          <w:rFonts w:eastAsia="Calibri"/>
        </w:rPr>
        <w:t>The</w:t>
      </w:r>
      <w:r w:rsidR="009B2858" w:rsidRPr="009B2858">
        <w:rPr>
          <w:rFonts w:eastAsia="Calibri"/>
        </w:rPr>
        <w:t xml:space="preserve"> concept of profitability is very important both for the non-financial institutions as well as financial institutions and commercial banks are considered to be the major constituents of the financial institutions. The success and growth of commercial banks is mainly dependent on the competitive marketing strategy that their marketing department adopts to help them compete with others in the market (Swarnapali, 2014).</w:t>
      </w:r>
    </w:p>
    <w:p w:rsidR="00E8407E" w:rsidRPr="009B2858" w:rsidRDefault="00C146A1" w:rsidP="00E8407E">
      <w:pPr>
        <w:tabs>
          <w:tab w:val="left" w:pos="5040"/>
        </w:tabs>
        <w:spacing w:after="200" w:line="360" w:lineRule="auto"/>
        <w:jc w:val="both"/>
        <w:rPr>
          <w:rFonts w:eastAsia="Calibri"/>
        </w:rPr>
      </w:pPr>
      <w:r w:rsidRPr="00FD6DB8">
        <w:rPr>
          <w:szCs w:val="24"/>
        </w:rPr>
        <w:t>According to a report by Cytonn Investments (20</w:t>
      </w:r>
      <w:r w:rsidR="00AB590B">
        <w:rPr>
          <w:szCs w:val="24"/>
        </w:rPr>
        <w:t>19</w:t>
      </w:r>
      <w:r w:rsidRPr="00FD6DB8">
        <w:rPr>
          <w:szCs w:val="24"/>
        </w:rPr>
        <w:t>), there are a total of 4</w:t>
      </w:r>
      <w:r>
        <w:rPr>
          <w:szCs w:val="24"/>
        </w:rPr>
        <w:t>2</w:t>
      </w:r>
      <w:r w:rsidRPr="00FD6DB8">
        <w:rPr>
          <w:szCs w:val="24"/>
        </w:rPr>
        <w:t xml:space="preserve"> commercial banks in Kenya</w:t>
      </w:r>
      <w:r>
        <w:rPr>
          <w:szCs w:val="24"/>
        </w:rPr>
        <w:t>.</w:t>
      </w:r>
      <w:r w:rsidRPr="00FD6DB8">
        <w:rPr>
          <w:szCs w:val="24"/>
        </w:rPr>
        <w:t xml:space="preserve"> </w:t>
      </w:r>
      <w:r w:rsidR="003D5B47">
        <w:rPr>
          <w:szCs w:val="24"/>
        </w:rPr>
        <w:t>Further,</w:t>
      </w:r>
      <w:r w:rsidRPr="00FD6DB8">
        <w:rPr>
          <w:szCs w:val="24"/>
        </w:rPr>
        <w:t xml:space="preserve"> all the commercial banks are regulated by the Central Bank of Kenya (CBK). The Capital Markets Authority (CMA) has additional oversight over the listed banks. All the commercial banks are required to adhere to certain prudential regulations such as minimum liquidity ratios and cash reserve ratios with the CBK</w:t>
      </w:r>
      <w:r w:rsidR="003D5B47">
        <w:rPr>
          <w:szCs w:val="24"/>
        </w:rPr>
        <w:t xml:space="preserve">. </w:t>
      </w:r>
      <w:r w:rsidR="00E8407E" w:rsidRPr="00E8407E">
        <w:rPr>
          <w:rFonts w:eastAsia="Calibri"/>
        </w:rPr>
        <w:t xml:space="preserve">The CBK is normally responsible for formulating and implementing the monetary policy adopted by the Kenyan government and ensuring there is liquidity, solvency and proper functioning of the financial system in the country. The entity also publishes valuable information related to the banking industry in Kenya and the non-banking financial institutions, as well as information about the interest rates prevalent in the country and other publications and guidelines. </w:t>
      </w:r>
    </w:p>
    <w:p w:rsidR="00C41D6A" w:rsidRDefault="00C41D6A" w:rsidP="00C41D6A">
      <w:pPr>
        <w:pStyle w:val="Heading1"/>
        <w:numPr>
          <w:ilvl w:val="0"/>
          <w:numId w:val="13"/>
        </w:numPr>
      </w:pPr>
      <w:r>
        <w:t>The Problem</w:t>
      </w:r>
    </w:p>
    <w:p w:rsidR="00DC3931" w:rsidRPr="00DC3931" w:rsidRDefault="001C13FD" w:rsidP="001C13FD">
      <w:pPr>
        <w:spacing w:line="360" w:lineRule="auto"/>
        <w:jc w:val="both"/>
        <w:rPr>
          <w:szCs w:val="24"/>
        </w:rPr>
      </w:pPr>
      <w:r>
        <w:t xml:space="preserve">Profitability of the banking sector is central to  the whole economy in general as the </w:t>
      </w:r>
      <w:r w:rsidRPr="00AC0BAE">
        <w:rPr>
          <w:szCs w:val="24"/>
        </w:rPr>
        <w:t xml:space="preserve">soundness of commercial banks is largely dependent on their financial performance which is normally used to indicate the strengths and the weaknesses </w:t>
      </w:r>
      <w:r>
        <w:rPr>
          <w:szCs w:val="24"/>
        </w:rPr>
        <w:t xml:space="preserve">through cash holding. </w:t>
      </w:r>
      <w:r w:rsidR="007C65DD">
        <w:t>A well-functioning and profitab</w:t>
      </w:r>
      <w:r w:rsidR="00DC3931">
        <w:t>le</w:t>
      </w:r>
      <w:r w:rsidR="007C65DD">
        <w:t xml:space="preserve"> banking industry </w:t>
      </w:r>
      <w:r w:rsidR="00DC3931" w:rsidRPr="00AC0BAE">
        <w:rPr>
          <w:szCs w:val="24"/>
        </w:rPr>
        <w:t xml:space="preserve">very crucial role in the allocation of economic resource of countries by helping to channel funds from depositors to investors in a </w:t>
      </w:r>
      <w:r>
        <w:rPr>
          <w:szCs w:val="24"/>
        </w:rPr>
        <w:t>flawless</w:t>
      </w:r>
      <w:r w:rsidR="00DC3931" w:rsidRPr="00AC0BAE">
        <w:rPr>
          <w:szCs w:val="24"/>
        </w:rPr>
        <w:t xml:space="preserve"> manner.</w:t>
      </w:r>
      <w:r w:rsidR="00DC3931" w:rsidRPr="00DC3931">
        <w:rPr>
          <w:szCs w:val="24"/>
        </w:rPr>
        <w:t xml:space="preserve"> </w:t>
      </w:r>
      <w:r w:rsidR="007C65DD">
        <w:t>In the 201</w:t>
      </w:r>
      <w:r w:rsidR="00DC3931">
        <w:t xml:space="preserve">8 </w:t>
      </w:r>
      <w:r w:rsidR="007C65DD">
        <w:t xml:space="preserve">CBK report on bank performance, it was noted that a number of </w:t>
      </w:r>
      <w:r w:rsidR="00DC3931">
        <w:t>commercial banks</w:t>
      </w:r>
      <w:r w:rsidR="007C65DD">
        <w:t xml:space="preserve"> struggled to reach profitability. It was further indicated that </w:t>
      </w:r>
      <w:r w:rsidR="00DC3931">
        <w:t xml:space="preserve">commercial </w:t>
      </w:r>
      <w:r w:rsidR="007C65DD">
        <w:t>banks are now facing a number of challenges that have brought their profitability under pressure but did not specifically and conclusively indicate or cite what the factors are (CBK, 201</w:t>
      </w:r>
      <w:r>
        <w:t>8</w:t>
      </w:r>
      <w:r w:rsidR="007C65DD">
        <w:t xml:space="preserve">). It is therefore essential to carry out the study on specific factors that </w:t>
      </w:r>
      <w:r>
        <w:t>effect</w:t>
      </w:r>
      <w:r w:rsidR="007C65DD">
        <w:t xml:space="preserve"> profitability of commercial banks.</w:t>
      </w:r>
      <w:r>
        <w:t xml:space="preserve"> </w:t>
      </w:r>
      <w:r w:rsidR="00DC3931">
        <w:rPr>
          <w:szCs w:val="24"/>
        </w:rPr>
        <w:t>This was</w:t>
      </w:r>
      <w:r w:rsidR="00DC3931" w:rsidRPr="00FD6DB8">
        <w:rPr>
          <w:szCs w:val="24"/>
        </w:rPr>
        <w:t xml:space="preserve"> achieved by analysing </w:t>
      </w:r>
      <w:r w:rsidR="00DC3931">
        <w:rPr>
          <w:szCs w:val="24"/>
        </w:rPr>
        <w:t>a</w:t>
      </w:r>
      <w:r w:rsidR="00DC3931" w:rsidRPr="00DC3931">
        <w:t xml:space="preserve"> </w:t>
      </w:r>
      <w:r w:rsidR="00DC3931">
        <w:t>variety of ratios used of which Return on Asset, Return on Equity and Net Interest Margin are the major ones.</w:t>
      </w:r>
      <w:r w:rsidR="00DC3931">
        <w:rPr>
          <w:szCs w:val="24"/>
        </w:rPr>
        <w:t xml:space="preserve"> </w:t>
      </w:r>
      <w:r w:rsidR="00DC3931">
        <w:t>Therefore, this study was</w:t>
      </w:r>
      <w:r w:rsidR="00DC3931" w:rsidRPr="002B50B2">
        <w:t xml:space="preserve"> conducted to fill this gap by investigating</w:t>
      </w:r>
      <w:r w:rsidR="00DC3931">
        <w:t xml:space="preserve"> </w:t>
      </w:r>
      <w:r w:rsidR="00DC3931" w:rsidRPr="00DC3931">
        <w:rPr>
          <w:szCs w:val="24"/>
        </w:rPr>
        <w:t xml:space="preserve">effects of profitability on corporate cash holdings of commercial banks in </w:t>
      </w:r>
      <w:r w:rsidRPr="00DC3931">
        <w:rPr>
          <w:szCs w:val="24"/>
        </w:rPr>
        <w:t>Kenya</w:t>
      </w:r>
      <w:r>
        <w:rPr>
          <w:szCs w:val="24"/>
        </w:rPr>
        <w:t>.</w:t>
      </w:r>
    </w:p>
    <w:p w:rsidR="00DC3931" w:rsidRPr="007C65DD" w:rsidRDefault="00DC3931" w:rsidP="00DC3931">
      <w:pPr>
        <w:spacing w:line="360" w:lineRule="auto"/>
        <w:jc w:val="both"/>
      </w:pPr>
    </w:p>
    <w:p w:rsidR="00C41D6A" w:rsidRDefault="00C41D6A" w:rsidP="00C41D6A">
      <w:pPr>
        <w:pStyle w:val="Heading1"/>
        <w:numPr>
          <w:ilvl w:val="0"/>
          <w:numId w:val="13"/>
        </w:numPr>
      </w:pPr>
      <w:r>
        <w:t xml:space="preserve">Objectives of this paper </w:t>
      </w:r>
    </w:p>
    <w:p w:rsidR="00175E1A" w:rsidRPr="001C13FD" w:rsidRDefault="001C13FD" w:rsidP="00175E1A">
      <w:pPr>
        <w:spacing w:line="360" w:lineRule="auto"/>
        <w:jc w:val="both"/>
      </w:pPr>
      <w:r w:rsidRPr="001C13FD">
        <w:t>The main objective of the study was to identify</w:t>
      </w:r>
      <w:r>
        <w:t xml:space="preserve"> the effects </w:t>
      </w:r>
      <w:r w:rsidRPr="00DC3931">
        <w:rPr>
          <w:szCs w:val="24"/>
        </w:rPr>
        <w:t>of profitability on corporate cash holdings of commercial banks in Kenya</w:t>
      </w:r>
      <w:r>
        <w:rPr>
          <w:szCs w:val="24"/>
        </w:rPr>
        <w:t>.</w:t>
      </w:r>
      <w:r w:rsidR="00175E1A">
        <w:rPr>
          <w:szCs w:val="24"/>
        </w:rPr>
        <w:t xml:space="preserve"> </w:t>
      </w:r>
      <w:r>
        <w:t>T</w:t>
      </w:r>
      <w:r w:rsidRPr="001C13FD">
        <w:t xml:space="preserve">he research sought to answer </w:t>
      </w:r>
      <w:r w:rsidR="00175E1A">
        <w:t xml:space="preserve">how </w:t>
      </w:r>
      <w:r w:rsidRPr="001C13FD">
        <w:t xml:space="preserve">the </w:t>
      </w:r>
      <w:r w:rsidR="00175E1A" w:rsidRPr="00175E1A">
        <w:t xml:space="preserve">trends </w:t>
      </w:r>
      <w:r w:rsidR="00175E1A">
        <w:t xml:space="preserve">and influence </w:t>
      </w:r>
      <w:r w:rsidR="00175E1A" w:rsidRPr="00175E1A">
        <w:t xml:space="preserve">of </w:t>
      </w:r>
      <w:r w:rsidR="00175E1A">
        <w:t xml:space="preserve">profitability affect </w:t>
      </w:r>
      <w:r w:rsidR="00175E1A" w:rsidRPr="00DC3931">
        <w:rPr>
          <w:szCs w:val="24"/>
        </w:rPr>
        <w:t>corporate cash holdings</w:t>
      </w:r>
      <w:r w:rsidR="00175E1A">
        <w:rPr>
          <w:szCs w:val="24"/>
        </w:rPr>
        <w:t>.</w:t>
      </w:r>
      <w:r w:rsidR="00175E1A" w:rsidRPr="00DC3931">
        <w:rPr>
          <w:szCs w:val="24"/>
        </w:rPr>
        <w:t xml:space="preserve"> </w:t>
      </w:r>
    </w:p>
    <w:p w:rsidR="00C41D6A" w:rsidRDefault="00C41D6A" w:rsidP="00C41D6A">
      <w:pPr>
        <w:pStyle w:val="Heading1"/>
        <w:numPr>
          <w:ilvl w:val="0"/>
          <w:numId w:val="13"/>
        </w:numPr>
      </w:pPr>
      <w:r>
        <w:t>Literature Review</w:t>
      </w:r>
    </w:p>
    <w:p w:rsidR="00175E1A" w:rsidRPr="00602FF7" w:rsidRDefault="00602FF7" w:rsidP="00602FF7">
      <w:pPr>
        <w:spacing w:line="360" w:lineRule="auto"/>
        <w:rPr>
          <w:b/>
        </w:rPr>
      </w:pPr>
      <w:r>
        <w:rPr>
          <w:b/>
        </w:rPr>
        <w:t>4</w:t>
      </w:r>
      <w:r w:rsidRPr="00602FF7">
        <w:rPr>
          <w:b/>
        </w:rPr>
        <w:t>.1 Theoretical Review</w:t>
      </w:r>
    </w:p>
    <w:p w:rsidR="00602FF7" w:rsidRDefault="00602FF7" w:rsidP="00602FF7">
      <w:pPr>
        <w:spacing w:line="360" w:lineRule="auto"/>
        <w:jc w:val="both"/>
      </w:pPr>
      <w:r>
        <w:t xml:space="preserve">This section reviews the </w:t>
      </w:r>
      <w:r w:rsidR="00AE1FA7">
        <w:rPr>
          <w:szCs w:val="24"/>
        </w:rPr>
        <w:t>signalling theory</w:t>
      </w:r>
      <w:r>
        <w:t xml:space="preserve"> and </w:t>
      </w:r>
      <w:r w:rsidRPr="009C61EB">
        <w:rPr>
          <w:szCs w:val="24"/>
        </w:rPr>
        <w:t>Pecking Order Theory</w:t>
      </w:r>
      <w:r>
        <w:t xml:space="preserve"> as the underlying theories to explain the profitability concept.</w:t>
      </w:r>
    </w:p>
    <w:p w:rsidR="00602FF7" w:rsidRDefault="00602FF7" w:rsidP="00602FF7">
      <w:pPr>
        <w:spacing w:line="360" w:lineRule="auto"/>
        <w:jc w:val="both"/>
      </w:pPr>
    </w:p>
    <w:p w:rsidR="00175E1A" w:rsidRDefault="00602FF7" w:rsidP="00602FF7">
      <w:pPr>
        <w:spacing w:line="360" w:lineRule="auto"/>
        <w:rPr>
          <w:b/>
          <w:szCs w:val="24"/>
        </w:rPr>
      </w:pPr>
      <w:r w:rsidRPr="00602FF7">
        <w:rPr>
          <w:b/>
        </w:rPr>
        <w:t xml:space="preserve">4.1.1 </w:t>
      </w:r>
      <w:r w:rsidR="00AE1FA7" w:rsidRPr="00AE1FA7">
        <w:rPr>
          <w:b/>
          <w:szCs w:val="24"/>
        </w:rPr>
        <w:t>Signalling Theory</w:t>
      </w:r>
    </w:p>
    <w:p w:rsidR="00AE1FA7" w:rsidRPr="00AE1FA7" w:rsidRDefault="00AE1FA7" w:rsidP="00AE1FA7">
      <w:pPr>
        <w:spacing w:line="360" w:lineRule="auto"/>
        <w:jc w:val="both"/>
        <w:rPr>
          <w:szCs w:val="24"/>
        </w:rPr>
      </w:pPr>
      <w:r w:rsidRPr="00AE1FA7">
        <w:rPr>
          <w:szCs w:val="24"/>
        </w:rPr>
        <w:t xml:space="preserve">The </w:t>
      </w:r>
      <w:r w:rsidRPr="00AE1FA7">
        <w:t>signalling theory originated from Arrow (1972) and Spence (1973)</w:t>
      </w:r>
      <w:r>
        <w:t xml:space="preserve"> who presupposed</w:t>
      </w:r>
      <w:r w:rsidRPr="00AE1FA7">
        <w:t xml:space="preserve"> that best performing or profitable firms supply the market with positive and better information</w:t>
      </w:r>
      <w:r>
        <w:t>.</w:t>
      </w:r>
      <w:r w:rsidRPr="00AE1FA7">
        <w:t xml:space="preserve"> </w:t>
      </w:r>
      <w:r>
        <w:t>In addition, the signalling theory is one of the theories, which have a clarification for the association between profitability and cash holding. This theory presupposes that a larger cash holding is an optimistic signal to market worth of the organization.</w:t>
      </w:r>
      <w:r w:rsidRPr="00AE1FA7">
        <w:rPr>
          <w:szCs w:val="24"/>
        </w:rPr>
        <w:t xml:space="preserve"> The signalling theory further postulates that majority of the profitable firms signal their competitive power through communicating new and important information to market. Thus, information is disclosed by means of specific indicators or ratios which, very often, measure specific conditions on which to enter into or renew the agency contract.</w:t>
      </w:r>
      <w:r w:rsidR="0062092C">
        <w:rPr>
          <w:szCs w:val="24"/>
        </w:rPr>
        <w:t xml:space="preserve"> </w:t>
      </w:r>
      <w:r w:rsidRPr="00AE1FA7">
        <w:rPr>
          <w:szCs w:val="24"/>
        </w:rPr>
        <w:t>Thus, the signalling theory affirms that when a bank’s performance is excellent, directors will signal the banks performance to its stakeholders and market by making various disclosures which poor performing firms cannot make. By enhancing more disclosure most managers will wish to receive high benefits and a good reputation which may increase the value of the firm and profitability</w:t>
      </w:r>
    </w:p>
    <w:p w:rsidR="00602FF7" w:rsidRDefault="00602FF7" w:rsidP="00602FF7">
      <w:pPr>
        <w:spacing w:line="360" w:lineRule="auto"/>
        <w:jc w:val="both"/>
        <w:rPr>
          <w:b/>
        </w:rPr>
      </w:pPr>
    </w:p>
    <w:p w:rsidR="00AE1FA7" w:rsidRDefault="00AE1FA7" w:rsidP="00602FF7">
      <w:pPr>
        <w:spacing w:line="360" w:lineRule="auto"/>
        <w:jc w:val="both"/>
        <w:rPr>
          <w:b/>
          <w:color w:val="FFFFFF"/>
          <w:szCs w:val="24"/>
        </w:rPr>
      </w:pPr>
      <w:r w:rsidRPr="00AE1FA7">
        <w:rPr>
          <w:b/>
        </w:rPr>
        <w:t>4.1.2</w:t>
      </w:r>
      <w:r>
        <w:rPr>
          <w:b/>
        </w:rPr>
        <w:t xml:space="preserve"> </w:t>
      </w:r>
      <w:r w:rsidRPr="00AE1FA7">
        <w:rPr>
          <w:b/>
          <w:szCs w:val="24"/>
        </w:rPr>
        <w:t>Pecking Order Theory</w:t>
      </w:r>
      <w:r w:rsidRPr="00AE1FA7">
        <w:rPr>
          <w:b/>
          <w:color w:val="FFFFFF"/>
          <w:szCs w:val="24"/>
        </w:rPr>
        <w:t>””</w:t>
      </w:r>
    </w:p>
    <w:p w:rsidR="00AE1FA7" w:rsidRDefault="00AE1FA7" w:rsidP="0062092C">
      <w:pPr>
        <w:tabs>
          <w:tab w:val="left" w:pos="5040"/>
        </w:tabs>
        <w:spacing w:line="360" w:lineRule="auto"/>
        <w:jc w:val="both"/>
        <w:rPr>
          <w:color w:val="FFFFFF"/>
        </w:rPr>
      </w:pPr>
      <w:r w:rsidRPr="00FD6DB8">
        <w:t>Pecking order theory is grounded b</w:t>
      </w:r>
      <w:r>
        <w:t xml:space="preserve">y the works of </w:t>
      </w:r>
      <w:r w:rsidRPr="00FD6DB8">
        <w:t xml:space="preserve">Myers and Majluf (1984). According to the theory, firms have an order when making decisions on which funding to utilize on investments. Firms would prefer to use the internal generated funds to finance its investment projects. They </w:t>
      </w:r>
      <w:r>
        <w:t xml:space="preserve">would </w:t>
      </w:r>
      <w:r w:rsidRPr="00FD6DB8">
        <w:t>also proceed and adjust their dividend levels even if there is a fixed dividend policy being followed. Later on, the firms</w:t>
      </w:r>
      <w:r>
        <w:t xml:space="preserve"> would </w:t>
      </w:r>
      <w:r w:rsidRPr="00FD6DB8">
        <w:t>trade liquid assets and use externa</w:t>
      </w:r>
      <w:r>
        <w:t>l financing as the last resort.</w:t>
      </w:r>
      <w:r w:rsidRPr="00250AA7">
        <w:rPr>
          <w:color w:val="FFFFFF"/>
        </w:rPr>
        <w:t>”</w:t>
      </w:r>
    </w:p>
    <w:p w:rsidR="005A0AC3" w:rsidRDefault="005A0AC3" w:rsidP="0062092C">
      <w:pPr>
        <w:tabs>
          <w:tab w:val="left" w:pos="5040"/>
        </w:tabs>
        <w:spacing w:line="360" w:lineRule="auto"/>
        <w:jc w:val="both"/>
      </w:pPr>
      <w:r w:rsidRPr="004D3D09">
        <w:rPr>
          <w:szCs w:val="24"/>
        </w:rPr>
        <w:lastRenderedPageBreak/>
        <w:t xml:space="preserve">According to the pecking order hypothesis, firms should choose to use retained earnings as their first source of financing in order to minimize the costs of information asymmetry and other financing costs. This source of funding is followed by safe and risky debt respectively, and if no other source of financing is available, the firm may resort to issuing equity (Myers </w:t>
      </w:r>
      <w:r>
        <w:rPr>
          <w:szCs w:val="24"/>
        </w:rPr>
        <w:t>&amp; Maj</w:t>
      </w:r>
      <w:r w:rsidRPr="004D3D09">
        <w:rPr>
          <w:szCs w:val="24"/>
        </w:rPr>
        <w:t>luf, 1984). The reason that equity is seen as the least favorable financing option according to the pecking order theory is that offering new equity is very expensive for firms due to information asymmetry (</w:t>
      </w:r>
      <w:r w:rsidR="00504D70">
        <w:rPr>
          <w:szCs w:val="24"/>
        </w:rPr>
        <w:t xml:space="preserve">Opler, </w:t>
      </w:r>
      <w:r w:rsidRPr="004D3D09">
        <w:rPr>
          <w:szCs w:val="24"/>
        </w:rPr>
        <w:t xml:space="preserve">Pinkowitz, </w:t>
      </w:r>
      <w:r>
        <w:rPr>
          <w:szCs w:val="24"/>
        </w:rPr>
        <w:t xml:space="preserve">Stulz and Williamson, </w:t>
      </w:r>
      <w:r w:rsidRPr="004D3D09">
        <w:rPr>
          <w:szCs w:val="24"/>
        </w:rPr>
        <w:t>2006). This offers an explanation as to why organizations opt to depend on retained earnings as a source of financing their investments, followed by debt financing, and finally equity.</w:t>
      </w:r>
    </w:p>
    <w:p w:rsidR="00AE1FA7" w:rsidRPr="00AE1FA7" w:rsidRDefault="00AE1FA7" w:rsidP="00602FF7">
      <w:pPr>
        <w:spacing w:line="360" w:lineRule="auto"/>
        <w:jc w:val="both"/>
        <w:rPr>
          <w:b/>
        </w:rPr>
      </w:pPr>
    </w:p>
    <w:p w:rsidR="00175E1A" w:rsidRDefault="00836947" w:rsidP="0081195C">
      <w:pPr>
        <w:spacing w:line="360" w:lineRule="auto"/>
        <w:rPr>
          <w:b/>
        </w:rPr>
      </w:pPr>
      <w:r>
        <w:rPr>
          <w:b/>
        </w:rPr>
        <w:t xml:space="preserve">4.2 </w:t>
      </w:r>
      <w:r w:rsidR="00017040" w:rsidRPr="00017040">
        <w:rPr>
          <w:b/>
        </w:rPr>
        <w:t xml:space="preserve">Conceptual Framework  </w:t>
      </w:r>
    </w:p>
    <w:p w:rsidR="008E2EF3" w:rsidRDefault="008E2EF3" w:rsidP="0081195C">
      <w:pPr>
        <w:tabs>
          <w:tab w:val="left" w:pos="5040"/>
        </w:tabs>
        <w:spacing w:line="360" w:lineRule="auto"/>
        <w:jc w:val="both"/>
        <w:rPr>
          <w:szCs w:val="24"/>
        </w:rPr>
      </w:pPr>
      <w:r>
        <w:rPr>
          <w:szCs w:val="24"/>
        </w:rPr>
        <w:t xml:space="preserve">The </w:t>
      </w:r>
      <w:r w:rsidRPr="0002028D">
        <w:rPr>
          <w:szCs w:val="24"/>
        </w:rPr>
        <w:t>conceptual framework conceptualize</w:t>
      </w:r>
      <w:r>
        <w:rPr>
          <w:szCs w:val="24"/>
        </w:rPr>
        <w:t>d</w:t>
      </w:r>
      <w:r w:rsidRPr="0002028D">
        <w:rPr>
          <w:szCs w:val="24"/>
        </w:rPr>
        <w:t xml:space="preserve"> </w:t>
      </w:r>
      <w:r>
        <w:rPr>
          <w:szCs w:val="24"/>
        </w:rPr>
        <w:t>and represented</w:t>
      </w:r>
      <w:r w:rsidRPr="0002028D">
        <w:rPr>
          <w:szCs w:val="24"/>
        </w:rPr>
        <w:t xml:space="preserve"> the relationships between </w:t>
      </w:r>
      <w:r>
        <w:rPr>
          <w:szCs w:val="24"/>
        </w:rPr>
        <w:t>v</w:t>
      </w:r>
      <w:r w:rsidR="00836947">
        <w:rPr>
          <w:szCs w:val="24"/>
        </w:rPr>
        <w:t>ariable</w:t>
      </w:r>
      <w:r>
        <w:rPr>
          <w:szCs w:val="24"/>
        </w:rPr>
        <w:t xml:space="preserve"> in the study and showed</w:t>
      </w:r>
      <w:r w:rsidRPr="0002028D">
        <w:rPr>
          <w:szCs w:val="24"/>
        </w:rPr>
        <w:t xml:space="preserve"> the relationship graphically or diagrammatically. </w:t>
      </w:r>
    </w:p>
    <w:p w:rsidR="00836947" w:rsidRDefault="00836947" w:rsidP="00195DAF">
      <w:pPr>
        <w:tabs>
          <w:tab w:val="left" w:pos="5040"/>
        </w:tabs>
        <w:spacing w:line="360" w:lineRule="auto"/>
        <w:jc w:val="both"/>
        <w:rPr>
          <w:szCs w:val="24"/>
        </w:rPr>
      </w:pPr>
    </w:p>
    <w:p w:rsidR="00836947" w:rsidRDefault="0081195C" w:rsidP="00195DAF">
      <w:pPr>
        <w:tabs>
          <w:tab w:val="left" w:pos="5040"/>
        </w:tabs>
        <w:spacing w:line="360" w:lineRule="auto"/>
        <w:jc w:val="both"/>
        <w:rPr>
          <w:szCs w:val="24"/>
        </w:rPr>
      </w:pPr>
      <w:r>
        <w:rPr>
          <w:noProof/>
          <w:szCs w:val="24"/>
          <w:lang w:val="en-US" w:eastAsia="en-US"/>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ragraph">
                  <wp:posOffset>5715</wp:posOffset>
                </wp:positionV>
                <wp:extent cx="5495925" cy="971550"/>
                <wp:effectExtent l="0" t="0" r="28575" b="19050"/>
                <wp:wrapNone/>
                <wp:docPr id="9" name="Group 9"/>
                <wp:cNvGraphicFramePr/>
                <a:graphic xmlns:a="http://schemas.openxmlformats.org/drawingml/2006/main">
                  <a:graphicData uri="http://schemas.microsoft.com/office/word/2010/wordprocessingGroup">
                    <wpg:wgp>
                      <wpg:cNvGrpSpPr/>
                      <wpg:grpSpPr>
                        <a:xfrm>
                          <a:off x="0" y="0"/>
                          <a:ext cx="5495925" cy="971550"/>
                          <a:chOff x="0" y="0"/>
                          <a:chExt cx="5248275" cy="971550"/>
                        </a:xfrm>
                      </wpg:grpSpPr>
                      <wps:wsp>
                        <wps:cNvPr id="18" name="Rectangle 18"/>
                        <wps:cNvSpPr>
                          <a:spLocks/>
                        </wps:cNvSpPr>
                        <wps:spPr>
                          <a:xfrm>
                            <a:off x="0" y="76200"/>
                            <a:ext cx="1940560" cy="895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36947" w:rsidRPr="00FA5571" w:rsidRDefault="00836947" w:rsidP="00836947">
                              <w:pPr>
                                <w:jc w:val="center"/>
                                <w:rPr>
                                  <w:b/>
                                  <w:szCs w:val="24"/>
                                </w:rPr>
                              </w:pPr>
                              <w:r>
                                <w:rPr>
                                  <w:b/>
                                  <w:szCs w:val="24"/>
                                </w:rPr>
                                <w:t xml:space="preserve">Profitability </w:t>
                              </w:r>
                            </w:p>
                            <w:p w:rsidR="00836947" w:rsidRPr="00FA5571" w:rsidRDefault="00836947" w:rsidP="00836947">
                              <w:pPr>
                                <w:pStyle w:val="ListParagraph"/>
                                <w:numPr>
                                  <w:ilvl w:val="0"/>
                                  <w:numId w:val="20"/>
                                </w:numPr>
                                <w:spacing w:after="0" w:line="276" w:lineRule="auto"/>
                                <w:rPr>
                                  <w:rFonts w:ascii="Times New Roman" w:hAnsi="Times New Roman"/>
                                  <w:sz w:val="24"/>
                                  <w:szCs w:val="24"/>
                                  <w:lang w:val="en-GB"/>
                                </w:rPr>
                              </w:pPr>
                              <w:r>
                                <w:rPr>
                                  <w:rFonts w:ascii="Times New Roman" w:hAnsi="Times New Roman"/>
                                  <w:sz w:val="24"/>
                                  <w:szCs w:val="24"/>
                                  <w:lang w:val="en-GB"/>
                                </w:rPr>
                                <w:t>ROA</w:t>
                              </w:r>
                            </w:p>
                            <w:p w:rsidR="00836947" w:rsidRPr="00FA5571" w:rsidRDefault="00836947" w:rsidP="00836947">
                              <w:pPr>
                                <w:pStyle w:val="ListParagraph"/>
                                <w:numPr>
                                  <w:ilvl w:val="0"/>
                                  <w:numId w:val="20"/>
                                </w:numPr>
                                <w:spacing w:after="0" w:line="276" w:lineRule="auto"/>
                                <w:rPr>
                                  <w:rFonts w:ascii="Times New Roman" w:hAnsi="Times New Roman"/>
                                  <w:sz w:val="24"/>
                                  <w:szCs w:val="24"/>
                                  <w:lang w:val="en-GB"/>
                                </w:rPr>
                              </w:pPr>
                              <w:r>
                                <w:rPr>
                                  <w:rFonts w:ascii="Times New Roman" w:hAnsi="Times New Roman"/>
                                  <w:sz w:val="24"/>
                                  <w:szCs w:val="24"/>
                                  <w:lang w:val="en-GB"/>
                                </w:rPr>
                                <w:t>ROE</w:t>
                              </w:r>
                              <w:r w:rsidRPr="00FA5571">
                                <w:rPr>
                                  <w:rFonts w:ascii="Times New Roman" w:hAnsi="Times New Roman"/>
                                  <w:sz w:val="24"/>
                                  <w:szCs w:val="24"/>
                                  <w:lang w:val="en-GB"/>
                                </w:rPr>
                                <w:t xml:space="preserve">, </w:t>
                              </w:r>
                            </w:p>
                            <w:p w:rsidR="00836947" w:rsidRPr="00FA5571" w:rsidRDefault="00836947" w:rsidP="00836947">
                              <w:pPr>
                                <w:pStyle w:val="ListParagraph"/>
                                <w:numPr>
                                  <w:ilvl w:val="0"/>
                                  <w:numId w:val="20"/>
                                </w:numPr>
                                <w:spacing w:after="0" w:line="276" w:lineRule="auto"/>
                                <w:rPr>
                                  <w:rFonts w:ascii="Times New Roman" w:hAnsi="Times New Roman"/>
                                  <w:sz w:val="24"/>
                                  <w:szCs w:val="24"/>
                                  <w:lang w:val="en-GB"/>
                                </w:rPr>
                              </w:pPr>
                              <w:r>
                                <w:rPr>
                                  <w:rFonts w:ascii="Times New Roman" w:hAnsi="Times New Roman"/>
                                  <w:sz w:val="24"/>
                                  <w:szCs w:val="24"/>
                                  <w:lang w:val="en-GB"/>
                                </w:rPr>
                                <w:t>NIM</w:t>
                              </w:r>
                            </w:p>
                            <w:p w:rsidR="00836947" w:rsidRPr="002E577C" w:rsidRDefault="00836947" w:rsidP="008369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a:spLocks/>
                        </wps:cNvSpPr>
                        <wps:spPr>
                          <a:xfrm>
                            <a:off x="3038475" y="0"/>
                            <a:ext cx="2209800" cy="962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36947" w:rsidRPr="00836947" w:rsidRDefault="00836947" w:rsidP="00836947">
                              <w:pPr>
                                <w:jc w:val="center"/>
                                <w:rPr>
                                  <w:b/>
                                  <w:szCs w:val="24"/>
                                </w:rPr>
                              </w:pPr>
                              <w:r w:rsidRPr="00836947">
                                <w:rPr>
                                  <w:b/>
                                  <w:szCs w:val="24"/>
                                </w:rPr>
                                <w:t xml:space="preserve">Corporate Cash Holding </w:t>
                              </w:r>
                            </w:p>
                            <w:p w:rsidR="00836947" w:rsidRDefault="00836947" w:rsidP="00C5704A">
                              <w:pPr>
                                <w:pStyle w:val="ListParagraph"/>
                                <w:numPr>
                                  <w:ilvl w:val="0"/>
                                  <w:numId w:val="21"/>
                                </w:numPr>
                                <w:spacing w:after="0" w:line="276" w:lineRule="auto"/>
                                <w:rPr>
                                  <w:rFonts w:ascii="Times New Roman" w:hAnsi="Times New Roman"/>
                                  <w:sz w:val="24"/>
                                  <w:szCs w:val="24"/>
                                  <w:lang w:val="en-GB"/>
                                </w:rPr>
                              </w:pPr>
                              <w:r w:rsidRPr="00836947">
                                <w:rPr>
                                  <w:rFonts w:ascii="Times New Roman" w:hAnsi="Times New Roman"/>
                                  <w:sz w:val="24"/>
                                  <w:szCs w:val="24"/>
                                  <w:lang w:val="en-GB"/>
                                </w:rPr>
                                <w:t>Total cash &amp; cash equivalent</w:t>
                              </w:r>
                            </w:p>
                            <w:p w:rsidR="00836947" w:rsidRPr="00836947" w:rsidRDefault="00836947" w:rsidP="00C5704A">
                              <w:pPr>
                                <w:pStyle w:val="ListParagraph"/>
                                <w:numPr>
                                  <w:ilvl w:val="0"/>
                                  <w:numId w:val="21"/>
                                </w:numPr>
                                <w:spacing w:after="0" w:line="276" w:lineRule="auto"/>
                                <w:rPr>
                                  <w:rFonts w:ascii="Times New Roman" w:hAnsi="Times New Roman"/>
                                  <w:sz w:val="24"/>
                                  <w:szCs w:val="24"/>
                                  <w:lang w:val="en-GB"/>
                                </w:rPr>
                              </w:pPr>
                              <w:r>
                                <w:rPr>
                                  <w:rFonts w:ascii="Times New Roman" w:hAnsi="Times New Roman"/>
                                  <w:sz w:val="24"/>
                                  <w:szCs w:val="24"/>
                                  <w:lang w:val="en-GB"/>
                                </w:rPr>
                                <w:t>Total Asset</w:t>
                              </w:r>
                            </w:p>
                            <w:p w:rsidR="00836947" w:rsidRPr="00FA5571" w:rsidRDefault="00836947" w:rsidP="00836947">
                              <w:pPr>
                                <w:pStyle w:val="ListParagraph"/>
                                <w:rPr>
                                  <w:rFonts w:ascii="Times New Roman" w:hAnsi="Times New Roman"/>
                                  <w:sz w:val="24"/>
                                  <w:szCs w:val="24"/>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cx="http://schemas.microsoft.com/office/drawing/2014/chartex">
            <w:pict>
              <v:group id="Group 9" o:spid="_x0000_s1026" style="position:absolute;left:0;text-align:left;margin-left:0;margin-top:.45pt;width:432.75pt;height:76.5pt;z-index:251659264;mso-position-horizontal:left;mso-position-horizontal-relative:margin;mso-width-relative:margin" coordsize="52482,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">
                <v:rect id="Rectangle 18" o:spid="_x0000_s1027" style="position:absolute;top:762;width:19405;height:8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59pMEA&#10;AADbAAAADwAAAGRycy9kb3ducmV2LnhtbESPQW/CMAyF75P4D5GRuEyQjsOGCgEhRKVdV8bdakxb&#10;aJyqCbTl1+PDpN1svef3Pm92g2vUg7pQezbwsUhAERfe1lwa+D1l8xWoEJEtNp7JwEgBdtvJ2wZT&#10;63v+oUceSyUhHFI0UMXYplqHoiKHYeFbYtEuvnMYZe1KbTvsJdw1epkkn9phzdJQYUuHiopbfncG&#10;2i/un9eYnUam83GVje91jndjZtNhvwYVaYj/5r/rbyv4Aiu/yAB6+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ufaTBAAAA2wAAAA8AAAAAAAAAAAAAAAAAmAIAAGRycy9kb3du&#10;cmV2LnhtbFBLBQYAAAAABAAEAPUAAACGAwAAAAA=&#10;" fillcolor="white [3201]" strokecolor="black [3213]" strokeweight="1pt">
                  <v:path arrowok="t"/>
                  <v:textbox>
                    <w:txbxContent>
                      <w:p w:rsidR="00836947" w:rsidRPr="00FA5571" w:rsidRDefault="00836947" w:rsidP="00836947">
                        <w:pPr>
                          <w:jc w:val="center"/>
                          <w:rPr>
                            <w:b/>
                            <w:szCs w:val="24"/>
                          </w:rPr>
                        </w:pPr>
                        <w:r>
                          <w:rPr>
                            <w:b/>
                            <w:szCs w:val="24"/>
                          </w:rPr>
                          <w:t xml:space="preserve">Profitability </w:t>
                        </w:r>
                      </w:p>
                      <w:p w:rsidR="00836947" w:rsidRPr="00FA5571" w:rsidRDefault="00836947" w:rsidP="00836947">
                        <w:pPr>
                          <w:pStyle w:val="ListParagraph"/>
                          <w:numPr>
                            <w:ilvl w:val="0"/>
                            <w:numId w:val="20"/>
                          </w:numPr>
                          <w:spacing w:after="0" w:line="276" w:lineRule="auto"/>
                          <w:rPr>
                            <w:rFonts w:ascii="Times New Roman" w:hAnsi="Times New Roman"/>
                            <w:sz w:val="24"/>
                            <w:szCs w:val="24"/>
                            <w:lang w:val="en-GB"/>
                          </w:rPr>
                        </w:pPr>
                        <w:r>
                          <w:rPr>
                            <w:rFonts w:ascii="Times New Roman" w:hAnsi="Times New Roman"/>
                            <w:sz w:val="24"/>
                            <w:szCs w:val="24"/>
                            <w:lang w:val="en-GB"/>
                          </w:rPr>
                          <w:t>ROA</w:t>
                        </w:r>
                      </w:p>
                      <w:p w:rsidR="00836947" w:rsidRPr="00FA5571" w:rsidRDefault="00836947" w:rsidP="00836947">
                        <w:pPr>
                          <w:pStyle w:val="ListParagraph"/>
                          <w:numPr>
                            <w:ilvl w:val="0"/>
                            <w:numId w:val="20"/>
                          </w:numPr>
                          <w:spacing w:after="0" w:line="276" w:lineRule="auto"/>
                          <w:rPr>
                            <w:rFonts w:ascii="Times New Roman" w:hAnsi="Times New Roman"/>
                            <w:sz w:val="24"/>
                            <w:szCs w:val="24"/>
                            <w:lang w:val="en-GB"/>
                          </w:rPr>
                        </w:pPr>
                        <w:r>
                          <w:rPr>
                            <w:rFonts w:ascii="Times New Roman" w:hAnsi="Times New Roman"/>
                            <w:sz w:val="24"/>
                            <w:szCs w:val="24"/>
                            <w:lang w:val="en-GB"/>
                          </w:rPr>
                          <w:t>ROE</w:t>
                        </w:r>
                        <w:r w:rsidRPr="00FA5571">
                          <w:rPr>
                            <w:rFonts w:ascii="Times New Roman" w:hAnsi="Times New Roman"/>
                            <w:sz w:val="24"/>
                            <w:szCs w:val="24"/>
                            <w:lang w:val="en-GB"/>
                          </w:rPr>
                          <w:t xml:space="preserve">, </w:t>
                        </w:r>
                      </w:p>
                      <w:p w:rsidR="00836947" w:rsidRPr="00FA5571" w:rsidRDefault="00836947" w:rsidP="00836947">
                        <w:pPr>
                          <w:pStyle w:val="ListParagraph"/>
                          <w:numPr>
                            <w:ilvl w:val="0"/>
                            <w:numId w:val="20"/>
                          </w:numPr>
                          <w:spacing w:after="0" w:line="276" w:lineRule="auto"/>
                          <w:rPr>
                            <w:rFonts w:ascii="Times New Roman" w:hAnsi="Times New Roman"/>
                            <w:sz w:val="24"/>
                            <w:szCs w:val="24"/>
                            <w:lang w:val="en-GB"/>
                          </w:rPr>
                        </w:pPr>
                        <w:r>
                          <w:rPr>
                            <w:rFonts w:ascii="Times New Roman" w:hAnsi="Times New Roman"/>
                            <w:sz w:val="24"/>
                            <w:szCs w:val="24"/>
                            <w:lang w:val="en-GB"/>
                          </w:rPr>
                          <w:t>NIM</w:t>
                        </w:r>
                      </w:p>
                      <w:p w:rsidR="00836947" w:rsidRPr="002E577C" w:rsidRDefault="00836947" w:rsidP="00836947">
                        <w:pPr>
                          <w:jc w:val="center"/>
                        </w:pPr>
                      </w:p>
                    </w:txbxContent>
                  </v:textbox>
                </v:rect>
                <v:rect id="Rectangle 21" o:spid="_x0000_s1028" style="position:absolute;left:30384;width:22098;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gehMEA&#10;AADbAAAADwAAAGRycy9kb3ducmV2LnhtbESPQYvCMBSE7wv+h/AEL4umetiVaiwiW9irdb0/mmdb&#10;bV5Kk9rWX28WBI/DzHzDbJPB1OJOrassK1guIhDEudUVFwr+Tul8DcJ5ZI21ZVIwkoNkN/nYYqxt&#10;z0e6Z74QAcIuRgWl900spctLMugWtiEO3sW2Bn2QbSF1i32Am1quouhLGqw4LJTY0KGk/JZ1RkHz&#10;zf3j6tPTyHT+WafjZ5Vhp9RsOuw3IDwN/h1+tX+1gtUS/r+EHyB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4HoTBAAAA2wAAAA8AAAAAAAAAAAAAAAAAmAIAAGRycy9kb3du&#10;cmV2LnhtbFBLBQYAAAAABAAEAPUAAACGAwAAAAA=&#10;" fillcolor="white [3201]" strokecolor="black [3213]" strokeweight="1pt">
                  <v:path arrowok="t"/>
                  <v:textbox>
                    <w:txbxContent>
                      <w:p w:rsidR="00836947" w:rsidRPr="00836947" w:rsidRDefault="00836947" w:rsidP="00836947">
                        <w:pPr>
                          <w:jc w:val="center"/>
                          <w:rPr>
                            <w:b/>
                            <w:szCs w:val="24"/>
                          </w:rPr>
                        </w:pPr>
                        <w:r w:rsidRPr="00836947">
                          <w:rPr>
                            <w:b/>
                            <w:szCs w:val="24"/>
                          </w:rPr>
                          <w:t xml:space="preserve">Corporate Cash Holding </w:t>
                        </w:r>
                      </w:p>
                      <w:p w:rsidR="00836947" w:rsidRDefault="00836947" w:rsidP="00C5704A">
                        <w:pPr>
                          <w:pStyle w:val="ListParagraph"/>
                          <w:numPr>
                            <w:ilvl w:val="0"/>
                            <w:numId w:val="21"/>
                          </w:numPr>
                          <w:spacing w:after="0" w:line="276" w:lineRule="auto"/>
                          <w:rPr>
                            <w:rFonts w:ascii="Times New Roman" w:hAnsi="Times New Roman"/>
                            <w:sz w:val="24"/>
                            <w:szCs w:val="24"/>
                            <w:lang w:val="en-GB"/>
                          </w:rPr>
                        </w:pPr>
                        <w:r w:rsidRPr="00836947">
                          <w:rPr>
                            <w:rFonts w:ascii="Times New Roman" w:hAnsi="Times New Roman"/>
                            <w:sz w:val="24"/>
                            <w:szCs w:val="24"/>
                            <w:lang w:val="en-GB"/>
                          </w:rPr>
                          <w:t>Total cash &amp; cash equivalent</w:t>
                        </w:r>
                      </w:p>
                      <w:p w:rsidR="00836947" w:rsidRPr="00836947" w:rsidRDefault="00836947" w:rsidP="00C5704A">
                        <w:pPr>
                          <w:pStyle w:val="ListParagraph"/>
                          <w:numPr>
                            <w:ilvl w:val="0"/>
                            <w:numId w:val="21"/>
                          </w:numPr>
                          <w:spacing w:after="0" w:line="276" w:lineRule="auto"/>
                          <w:rPr>
                            <w:rFonts w:ascii="Times New Roman" w:hAnsi="Times New Roman"/>
                            <w:sz w:val="24"/>
                            <w:szCs w:val="24"/>
                            <w:lang w:val="en-GB"/>
                          </w:rPr>
                        </w:pPr>
                        <w:r>
                          <w:rPr>
                            <w:rFonts w:ascii="Times New Roman" w:hAnsi="Times New Roman"/>
                            <w:sz w:val="24"/>
                            <w:szCs w:val="24"/>
                            <w:lang w:val="en-GB"/>
                          </w:rPr>
                          <w:t>Total Asset</w:t>
                        </w:r>
                      </w:p>
                      <w:p w:rsidR="00836947" w:rsidRPr="00FA5571" w:rsidRDefault="00836947" w:rsidP="00836947">
                        <w:pPr>
                          <w:pStyle w:val="ListParagraph"/>
                          <w:rPr>
                            <w:rFonts w:ascii="Times New Roman" w:hAnsi="Times New Roman"/>
                            <w:sz w:val="24"/>
                            <w:szCs w:val="24"/>
                            <w:lang w:val="en-GB"/>
                          </w:rPr>
                        </w:pPr>
                      </w:p>
                    </w:txbxContent>
                  </v:textbox>
                </v:rect>
                <w10:wrap anchorx="margin"/>
              </v:group>
            </w:pict>
          </mc:Fallback>
        </mc:AlternateContent>
      </w:r>
    </w:p>
    <w:p w:rsidR="00836947" w:rsidRDefault="0001285B" w:rsidP="00195DAF">
      <w:pPr>
        <w:tabs>
          <w:tab w:val="left" w:pos="5040"/>
        </w:tabs>
        <w:spacing w:line="360" w:lineRule="auto"/>
        <w:jc w:val="both"/>
        <w:rPr>
          <w:szCs w:val="24"/>
        </w:rPr>
      </w:pPr>
      <w:r>
        <w:rPr>
          <w:noProof/>
          <w:szCs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2023109</wp:posOffset>
                </wp:positionH>
                <wp:positionV relativeFrom="paragraph">
                  <wp:posOffset>210185</wp:posOffset>
                </wp:positionV>
                <wp:extent cx="1190625" cy="19050"/>
                <wp:effectExtent l="0" t="76200" r="28575" b="76200"/>
                <wp:wrapNone/>
                <wp:docPr id="10" name="Straight Arrow Connector 10"/>
                <wp:cNvGraphicFramePr/>
                <a:graphic xmlns:a="http://schemas.openxmlformats.org/drawingml/2006/main">
                  <a:graphicData uri="http://schemas.microsoft.com/office/word/2010/wordprocessingShape">
                    <wps:wsp>
                      <wps:cNvCnPr/>
                      <wps:spPr>
                        <a:xfrm flipV="1">
                          <a:off x="0" y="0"/>
                          <a:ext cx="1190625" cy="19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type w14:anchorId="49A2B4CC" id="_x0000_t32" coordsize="21600,21600" o:spt="32" o:oned="t" path="m,l21600,21600e" filled="f">
                <v:path arrowok="t" fillok="f" o:connecttype="none"/>
                <o:lock v:ext="edit" shapetype="t"/>
              </v:shapetype>
              <v:shape id="Straight Arrow Connector 10" o:spid="_x0000_s1026" type="#_x0000_t32" style="position:absolute;margin-left:159.3pt;margin-top:16.55pt;width:93.75pt;height:1.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" strokecolor="black [3213]" strokeweight=".5pt">
                <v:stroke endarrow="block" joinstyle="miter"/>
              </v:shape>
            </w:pict>
          </mc:Fallback>
        </mc:AlternateContent>
      </w:r>
    </w:p>
    <w:p w:rsidR="00836947" w:rsidRDefault="00836947" w:rsidP="00195DAF">
      <w:pPr>
        <w:tabs>
          <w:tab w:val="left" w:pos="5040"/>
        </w:tabs>
        <w:spacing w:line="360" w:lineRule="auto"/>
        <w:jc w:val="both"/>
        <w:rPr>
          <w:szCs w:val="24"/>
        </w:rPr>
      </w:pPr>
    </w:p>
    <w:p w:rsidR="00836947" w:rsidRDefault="00836947" w:rsidP="00195DAF">
      <w:pPr>
        <w:tabs>
          <w:tab w:val="left" w:pos="5040"/>
        </w:tabs>
        <w:spacing w:line="360" w:lineRule="auto"/>
        <w:jc w:val="both"/>
        <w:rPr>
          <w:szCs w:val="24"/>
        </w:rPr>
      </w:pPr>
    </w:p>
    <w:p w:rsidR="00836947" w:rsidRDefault="0001285B" w:rsidP="00195DAF">
      <w:pPr>
        <w:tabs>
          <w:tab w:val="left" w:pos="5040"/>
        </w:tabs>
        <w:spacing w:line="360" w:lineRule="auto"/>
        <w:jc w:val="both"/>
        <w:rPr>
          <w:szCs w:val="24"/>
        </w:rPr>
      </w:pPr>
      <w:r>
        <w:rPr>
          <w:szCs w:val="24"/>
        </w:rPr>
        <w:t>Figure 1: Conceptual Framework</w:t>
      </w:r>
    </w:p>
    <w:p w:rsidR="0001285B" w:rsidRDefault="0001285B" w:rsidP="00195DAF">
      <w:pPr>
        <w:tabs>
          <w:tab w:val="left" w:pos="5040"/>
        </w:tabs>
        <w:spacing w:line="360" w:lineRule="auto"/>
        <w:jc w:val="both"/>
        <w:rPr>
          <w:szCs w:val="24"/>
        </w:rPr>
      </w:pPr>
    </w:p>
    <w:p w:rsidR="00836947" w:rsidRDefault="00836947" w:rsidP="00836947">
      <w:pPr>
        <w:spacing w:line="360" w:lineRule="auto"/>
        <w:jc w:val="both"/>
      </w:pPr>
      <w:r>
        <w:t>Commercial Bank Managers of holding excess cash have considerable discretion to employ excess cash to fund new capital investments, invest in research and development, pursue acquisitions, pay dividends, repurchase shares, reduce debt, or to simply continue holding the excess cash. The Managers may hold cash for reasons that are not in the best interests of shareholders. By holding excess cash, managers can avoid raising funds externally which can submit their firms to the disciplining scrutiny of external capital markets. Managers can use excess free cash flows to then pursue their own spending objectives.</w:t>
      </w:r>
      <w:r w:rsidRPr="00250AA7">
        <w:rPr>
          <w:color w:val="FFFFFF"/>
        </w:rPr>
        <w:t>”</w:t>
      </w:r>
    </w:p>
    <w:p w:rsidR="00836947" w:rsidRDefault="00836947" w:rsidP="00195DAF">
      <w:pPr>
        <w:tabs>
          <w:tab w:val="left" w:pos="5040"/>
        </w:tabs>
        <w:spacing w:line="360" w:lineRule="auto"/>
        <w:jc w:val="both"/>
        <w:rPr>
          <w:szCs w:val="24"/>
        </w:rPr>
      </w:pPr>
    </w:p>
    <w:p w:rsidR="00195DAF" w:rsidRPr="00836947" w:rsidRDefault="00195DAF" w:rsidP="00195DAF">
      <w:pPr>
        <w:pStyle w:val="ListNumber"/>
        <w:numPr>
          <w:ilvl w:val="0"/>
          <w:numId w:val="13"/>
        </w:numPr>
        <w:rPr>
          <w:b/>
          <w:sz w:val="28"/>
          <w:szCs w:val="28"/>
        </w:rPr>
      </w:pPr>
      <w:r w:rsidRPr="00836947">
        <w:rPr>
          <w:b/>
          <w:sz w:val="28"/>
          <w:szCs w:val="28"/>
        </w:rPr>
        <w:t>METHODOLOGY</w:t>
      </w:r>
    </w:p>
    <w:p w:rsidR="00B220A2" w:rsidRPr="00195DAF" w:rsidRDefault="00B220A2" w:rsidP="00B220A2">
      <w:pPr>
        <w:pStyle w:val="ListNumber"/>
        <w:ind w:left="360"/>
        <w:rPr>
          <w:b/>
        </w:rPr>
      </w:pPr>
    </w:p>
    <w:p w:rsidR="00195DAF" w:rsidRPr="00B220A2" w:rsidRDefault="00195DAF" w:rsidP="00B220A2">
      <w:pPr>
        <w:spacing w:line="360" w:lineRule="auto"/>
        <w:rPr>
          <w:b/>
        </w:rPr>
      </w:pPr>
      <w:bookmarkStart w:id="0" w:name="_Toc46003424"/>
      <w:r w:rsidRPr="00B220A2">
        <w:rPr>
          <w:b/>
        </w:rPr>
        <w:t>5.1 Research Design</w:t>
      </w:r>
      <w:bookmarkEnd w:id="0"/>
    </w:p>
    <w:p w:rsidR="00B220A2" w:rsidRDefault="00195DAF" w:rsidP="00B220A2">
      <w:pPr>
        <w:tabs>
          <w:tab w:val="left" w:pos="5040"/>
        </w:tabs>
        <w:spacing w:line="360" w:lineRule="auto"/>
        <w:jc w:val="both"/>
        <w:rPr>
          <w:szCs w:val="24"/>
        </w:rPr>
      </w:pPr>
      <w:r>
        <w:rPr>
          <w:szCs w:val="24"/>
        </w:rPr>
        <w:t>This study</w:t>
      </w:r>
      <w:r w:rsidRPr="00FD6DB8">
        <w:rPr>
          <w:szCs w:val="24"/>
        </w:rPr>
        <w:t xml:space="preserve"> employ</w:t>
      </w:r>
      <w:r>
        <w:rPr>
          <w:szCs w:val="24"/>
        </w:rPr>
        <w:t>ed</w:t>
      </w:r>
      <w:r w:rsidRPr="00FD6DB8">
        <w:rPr>
          <w:szCs w:val="24"/>
        </w:rPr>
        <w:t xml:space="preserve"> a multimethod research design. According to Mingers (2003), use of multimethod research design produces richer and more reliable results. </w:t>
      </w:r>
      <w:r>
        <w:rPr>
          <w:szCs w:val="24"/>
        </w:rPr>
        <w:t>The study therefore</w:t>
      </w:r>
      <w:r w:rsidRPr="00FD6DB8">
        <w:rPr>
          <w:szCs w:val="24"/>
        </w:rPr>
        <w:t xml:space="preserve"> adopt</w:t>
      </w:r>
      <w:r>
        <w:rPr>
          <w:szCs w:val="24"/>
        </w:rPr>
        <w:t>ed</w:t>
      </w:r>
      <w:r w:rsidRPr="00FD6DB8">
        <w:rPr>
          <w:szCs w:val="24"/>
        </w:rPr>
        <w:t xml:space="preserve"> the descriptive and explanatory research designs. According to Cooper and Schindler </w:t>
      </w:r>
      <w:r w:rsidRPr="00FD6DB8">
        <w:rPr>
          <w:szCs w:val="24"/>
        </w:rPr>
        <w:lastRenderedPageBreak/>
        <w:t>(2011), descriptive study is used to describe or define, often by way of profiling a group of problems, people or events through data collection and tabulation of frequencies research variables or their interactions. According to Rahi (2017), explanatory research establishes and explains a situation or problem in the form of causal relationships between variables under study.</w:t>
      </w:r>
    </w:p>
    <w:p w:rsidR="00195DAF" w:rsidRPr="00FD6DB8" w:rsidRDefault="00195DAF" w:rsidP="00195DAF">
      <w:pPr>
        <w:tabs>
          <w:tab w:val="left" w:pos="5040"/>
        </w:tabs>
        <w:spacing w:line="360" w:lineRule="auto"/>
        <w:jc w:val="both"/>
        <w:rPr>
          <w:szCs w:val="24"/>
        </w:rPr>
      </w:pPr>
      <w:r w:rsidRPr="00FD6DB8">
        <w:rPr>
          <w:szCs w:val="24"/>
        </w:rPr>
        <w:t xml:space="preserve"> </w:t>
      </w:r>
    </w:p>
    <w:p w:rsidR="00195DAF" w:rsidRPr="00B220A2" w:rsidRDefault="00195DAF" w:rsidP="00B220A2">
      <w:pPr>
        <w:spacing w:line="360" w:lineRule="auto"/>
        <w:rPr>
          <w:b/>
        </w:rPr>
      </w:pPr>
      <w:bookmarkStart w:id="1" w:name="_Toc46003425"/>
      <w:r w:rsidRPr="00B220A2">
        <w:rPr>
          <w:b/>
        </w:rPr>
        <w:t>5.2 Target Population</w:t>
      </w:r>
      <w:bookmarkEnd w:id="1"/>
    </w:p>
    <w:p w:rsidR="00195DAF" w:rsidRDefault="00195DAF" w:rsidP="00B220A2">
      <w:pPr>
        <w:tabs>
          <w:tab w:val="left" w:pos="5040"/>
        </w:tabs>
        <w:spacing w:line="360" w:lineRule="auto"/>
        <w:jc w:val="both"/>
        <w:rPr>
          <w:szCs w:val="24"/>
        </w:rPr>
      </w:pPr>
      <w:r w:rsidRPr="00FD6DB8">
        <w:rPr>
          <w:szCs w:val="24"/>
        </w:rPr>
        <w:t>According to Ngechu (2006), a population is a complete set of individuals, cases, or objects with some common observable characteristi</w:t>
      </w:r>
      <w:r>
        <w:rPr>
          <w:szCs w:val="24"/>
        </w:rPr>
        <w:t xml:space="preserve">cs. A particular population has </w:t>
      </w:r>
      <w:r w:rsidRPr="00FD6DB8">
        <w:rPr>
          <w:szCs w:val="24"/>
        </w:rPr>
        <w:t>unique characteristics differentiating it from other population. Ngechu</w:t>
      </w:r>
      <w:r>
        <w:rPr>
          <w:szCs w:val="24"/>
        </w:rPr>
        <w:t xml:space="preserve"> (2006)</w:t>
      </w:r>
      <w:r w:rsidRPr="00FD6DB8">
        <w:rPr>
          <w:szCs w:val="24"/>
        </w:rPr>
        <w:t xml:space="preserve"> further indicates that a target population is a group of individuals, event or objects which a researcher wants to generalize the findings. The popu</w:t>
      </w:r>
      <w:r>
        <w:rPr>
          <w:szCs w:val="24"/>
        </w:rPr>
        <w:t>lation of the current study</w:t>
      </w:r>
      <w:r w:rsidRPr="00FD6DB8">
        <w:rPr>
          <w:szCs w:val="24"/>
        </w:rPr>
        <w:t xml:space="preserve"> comprise</w:t>
      </w:r>
      <w:r>
        <w:rPr>
          <w:szCs w:val="24"/>
        </w:rPr>
        <w:t>d</w:t>
      </w:r>
      <w:r w:rsidRPr="00FD6DB8">
        <w:rPr>
          <w:szCs w:val="24"/>
        </w:rPr>
        <w:t xml:space="preserve"> of all commercial banks registered and licensed to operate in Kenya as at 31st December 2017.</w:t>
      </w:r>
    </w:p>
    <w:p w:rsidR="00B220A2" w:rsidRPr="00FD6DB8" w:rsidRDefault="00B220A2" w:rsidP="00D661F5">
      <w:pPr>
        <w:tabs>
          <w:tab w:val="left" w:pos="5040"/>
        </w:tabs>
        <w:spacing w:line="360" w:lineRule="auto"/>
        <w:jc w:val="both"/>
        <w:rPr>
          <w:szCs w:val="24"/>
        </w:rPr>
      </w:pPr>
    </w:p>
    <w:p w:rsidR="00195DAF" w:rsidRPr="00B220A2" w:rsidRDefault="00195DAF" w:rsidP="00D661F5">
      <w:pPr>
        <w:spacing w:line="360" w:lineRule="auto"/>
        <w:rPr>
          <w:b/>
        </w:rPr>
      </w:pPr>
      <w:bookmarkStart w:id="2" w:name="_Toc46003426"/>
      <w:r w:rsidRPr="00B220A2">
        <w:rPr>
          <w:b/>
        </w:rPr>
        <w:t>5.3 Sampling and Sampling Techniques</w:t>
      </w:r>
      <w:bookmarkEnd w:id="2"/>
    </w:p>
    <w:p w:rsidR="00195DAF" w:rsidRDefault="00195DAF" w:rsidP="00D661F5">
      <w:pPr>
        <w:tabs>
          <w:tab w:val="left" w:pos="5040"/>
        </w:tabs>
        <w:spacing w:line="360" w:lineRule="auto"/>
        <w:jc w:val="both"/>
        <w:rPr>
          <w:szCs w:val="24"/>
        </w:rPr>
      </w:pPr>
      <w:r w:rsidRPr="00FD6DB8">
        <w:rPr>
          <w:szCs w:val="24"/>
        </w:rPr>
        <w:t>Cooper and Schindler (2011) reported that sampling refers to the selection of a proportionate representation from the total population under study. It enables to lower cost, give accuracy of results, and increase speed of data collection and availability of population elements. According to Collins and Hussey (2009), sampling technique is a method of selecting elements from a study population that will represent the entire population.</w:t>
      </w:r>
      <w:r>
        <w:rPr>
          <w:szCs w:val="24"/>
        </w:rPr>
        <w:t xml:space="preserve"> This study</w:t>
      </w:r>
      <w:r w:rsidRPr="00FD6DB8">
        <w:rPr>
          <w:szCs w:val="24"/>
        </w:rPr>
        <w:t xml:space="preserve"> adopt</w:t>
      </w:r>
      <w:r>
        <w:rPr>
          <w:szCs w:val="24"/>
        </w:rPr>
        <w:t>ed</w:t>
      </w:r>
      <w:r w:rsidRPr="00FD6DB8">
        <w:rPr>
          <w:szCs w:val="24"/>
        </w:rPr>
        <w:t xml:space="preserve"> a census survey method where all the commercial </w:t>
      </w:r>
      <w:r w:rsidRPr="009C61EB">
        <w:rPr>
          <w:szCs w:val="24"/>
        </w:rPr>
        <w:t xml:space="preserve">banks </w:t>
      </w:r>
      <w:r>
        <w:rPr>
          <w:szCs w:val="24"/>
        </w:rPr>
        <w:t xml:space="preserve">were </w:t>
      </w:r>
      <w:r w:rsidRPr="009C61EB">
        <w:rPr>
          <w:szCs w:val="24"/>
        </w:rPr>
        <w:t>analyzed</w:t>
      </w:r>
      <w:r>
        <w:rPr>
          <w:szCs w:val="24"/>
        </w:rPr>
        <w:t>. This sampling technique was</w:t>
      </w:r>
      <w:r w:rsidRPr="009C61EB">
        <w:rPr>
          <w:szCs w:val="24"/>
        </w:rPr>
        <w:t xml:space="preserve"> chosen because the units of</w:t>
      </w:r>
      <w:r>
        <w:rPr>
          <w:szCs w:val="24"/>
        </w:rPr>
        <w:t xml:space="preserve"> analysis we</w:t>
      </w:r>
      <w:r w:rsidRPr="00FD6DB8">
        <w:rPr>
          <w:szCs w:val="24"/>
        </w:rPr>
        <w:t>re few</w:t>
      </w:r>
      <w:r>
        <w:rPr>
          <w:szCs w:val="24"/>
        </w:rPr>
        <w:t xml:space="preserve"> as per the time the study was conducted</w:t>
      </w:r>
      <w:r w:rsidRPr="00FD6DB8">
        <w:rPr>
          <w:szCs w:val="24"/>
        </w:rPr>
        <w:t>.</w:t>
      </w:r>
    </w:p>
    <w:p w:rsidR="000F322B" w:rsidRPr="00FD6DB8" w:rsidRDefault="000F322B" w:rsidP="00195DAF">
      <w:pPr>
        <w:tabs>
          <w:tab w:val="left" w:pos="5040"/>
        </w:tabs>
        <w:spacing w:line="360" w:lineRule="auto"/>
        <w:jc w:val="both"/>
        <w:rPr>
          <w:szCs w:val="24"/>
        </w:rPr>
      </w:pPr>
    </w:p>
    <w:p w:rsidR="00195DAF" w:rsidRPr="000F322B" w:rsidRDefault="00195DAF" w:rsidP="000F322B">
      <w:pPr>
        <w:spacing w:line="360" w:lineRule="auto"/>
        <w:rPr>
          <w:b/>
        </w:rPr>
      </w:pPr>
      <w:bookmarkStart w:id="3" w:name="_Toc46003427"/>
      <w:r w:rsidRPr="000F322B">
        <w:rPr>
          <w:b/>
        </w:rPr>
        <w:t>5.4 Data Collection Instruments and procedure</w:t>
      </w:r>
      <w:bookmarkEnd w:id="3"/>
    </w:p>
    <w:p w:rsidR="00195DAF" w:rsidRDefault="00195DAF" w:rsidP="000F322B">
      <w:pPr>
        <w:tabs>
          <w:tab w:val="left" w:pos="5040"/>
        </w:tabs>
        <w:spacing w:line="360" w:lineRule="auto"/>
        <w:jc w:val="both"/>
        <w:rPr>
          <w:szCs w:val="24"/>
        </w:rPr>
      </w:pPr>
      <w:r w:rsidRPr="00FD6DB8">
        <w:rPr>
          <w:szCs w:val="24"/>
        </w:rPr>
        <w:t xml:space="preserve">This </w:t>
      </w:r>
      <w:r>
        <w:rPr>
          <w:szCs w:val="24"/>
        </w:rPr>
        <w:t>study heavily relied on secondary data which was</w:t>
      </w:r>
      <w:r w:rsidRPr="00FD6DB8">
        <w:rPr>
          <w:szCs w:val="24"/>
        </w:rPr>
        <w:t xml:space="preserve"> obtained from annual reports issued by the CBK Bank Supervision unit.</w:t>
      </w:r>
      <w:r>
        <w:rPr>
          <w:szCs w:val="24"/>
        </w:rPr>
        <w:t xml:space="preserve"> The researcher</w:t>
      </w:r>
      <w:r w:rsidRPr="00FD6DB8">
        <w:rPr>
          <w:szCs w:val="24"/>
        </w:rPr>
        <w:t xml:space="preserve"> use</w:t>
      </w:r>
      <w:r>
        <w:rPr>
          <w:szCs w:val="24"/>
        </w:rPr>
        <w:t>d</w:t>
      </w:r>
      <w:r w:rsidRPr="00FD6DB8">
        <w:rPr>
          <w:szCs w:val="24"/>
        </w:rPr>
        <w:t xml:space="preserve"> the data collection sh</w:t>
      </w:r>
      <w:r>
        <w:rPr>
          <w:szCs w:val="24"/>
        </w:rPr>
        <w:t>eet where all the variables were</w:t>
      </w:r>
      <w:r w:rsidRPr="00FD6DB8">
        <w:rPr>
          <w:szCs w:val="24"/>
        </w:rPr>
        <w:t xml:space="preserve"> entered after extraction from the financial stat</w:t>
      </w:r>
      <w:r>
        <w:rPr>
          <w:szCs w:val="24"/>
        </w:rPr>
        <w:t>ements of the banks. This was</w:t>
      </w:r>
      <w:r w:rsidRPr="00FD6DB8">
        <w:rPr>
          <w:szCs w:val="24"/>
        </w:rPr>
        <w:t xml:space="preserve"> followed by a data summarization and subsequent </w:t>
      </w:r>
      <w:r w:rsidRPr="001B4CF6">
        <w:rPr>
          <w:szCs w:val="24"/>
        </w:rPr>
        <w:t>data cleaning to ensure that data is ready for analysis.</w:t>
      </w:r>
    </w:p>
    <w:p w:rsidR="00195DAF" w:rsidRPr="00195DAF" w:rsidRDefault="00195DAF" w:rsidP="00195DAF">
      <w:pPr>
        <w:pStyle w:val="Heading2"/>
        <w:rPr>
          <w:rStyle w:val="fontstyle11"/>
          <w:i w:val="0"/>
        </w:rPr>
      </w:pPr>
      <w:bookmarkStart w:id="4" w:name="_Toc46003428"/>
      <w:r w:rsidRPr="000F322B">
        <w:rPr>
          <w:rStyle w:val="fontstyle01"/>
          <w:i w:val="0"/>
          <w:sz w:val="24"/>
          <w:szCs w:val="24"/>
        </w:rPr>
        <w:t>5.5 Validity</w:t>
      </w:r>
      <w:bookmarkEnd w:id="4"/>
      <w:r w:rsidRPr="00195DAF">
        <w:rPr>
          <w:rStyle w:val="fontstyle11"/>
          <w:b/>
          <w:i w:val="0"/>
        </w:rPr>
        <w:t xml:space="preserve"> and </w:t>
      </w:r>
      <w:r w:rsidRPr="00195DAF">
        <w:rPr>
          <w:b/>
          <w:i w:val="0"/>
        </w:rPr>
        <w:t>Reliability</w:t>
      </w:r>
    </w:p>
    <w:p w:rsidR="00195DAF" w:rsidRPr="002E3E88" w:rsidRDefault="00195DAF" w:rsidP="00195DAF">
      <w:pPr>
        <w:spacing w:line="360" w:lineRule="auto"/>
        <w:jc w:val="both"/>
        <w:rPr>
          <w:szCs w:val="24"/>
        </w:rPr>
      </w:pPr>
      <w:r>
        <w:rPr>
          <w:rStyle w:val="fontstyle11"/>
        </w:rPr>
        <w:t xml:space="preserve">Given that the study focused on the collection of secondary data from commercial banks a </w:t>
      </w:r>
      <w:r w:rsidRPr="002E3E88">
        <w:rPr>
          <w:rStyle w:val="fontstyle11"/>
        </w:rPr>
        <w:t xml:space="preserve">pretest and pilot survey was conducted to test the accuracy, robustness and </w:t>
      </w:r>
      <w:r>
        <w:rPr>
          <w:rStyle w:val="fontstyle11"/>
        </w:rPr>
        <w:t>v</w:t>
      </w:r>
      <w:r w:rsidRPr="002E3E88">
        <w:rPr>
          <w:rStyle w:val="fontstyle11"/>
        </w:rPr>
        <w:t>ersatility.</w:t>
      </w:r>
      <w:r w:rsidRPr="002E3E88">
        <w:rPr>
          <w:szCs w:val="24"/>
        </w:rPr>
        <w:t xml:space="preserve"> The </w:t>
      </w:r>
      <w:r w:rsidRPr="002E3E88">
        <w:rPr>
          <w:szCs w:val="24"/>
        </w:rPr>
        <w:lastRenderedPageBreak/>
        <w:t xml:space="preserve">reliability was tested using Cronbach’s alpha a method used as </w:t>
      </w:r>
      <w:r>
        <w:rPr>
          <w:szCs w:val="24"/>
        </w:rPr>
        <w:t xml:space="preserve">a </w:t>
      </w:r>
      <w:r w:rsidRPr="002E3E88">
        <w:rPr>
          <w:szCs w:val="24"/>
        </w:rPr>
        <w:t>coefficient of internal consistency (Cronbach’s, 1951). It is commonly used as an estimate of the</w:t>
      </w:r>
      <w:r>
        <w:rPr>
          <w:szCs w:val="24"/>
        </w:rPr>
        <w:t xml:space="preserve"> </w:t>
      </w:r>
      <w:r w:rsidRPr="002E3E88">
        <w:rPr>
          <w:szCs w:val="24"/>
        </w:rPr>
        <w:t>reliability of a psychometric test for a sample of examinees by checking inter item correlation</w:t>
      </w:r>
      <w:r>
        <w:rPr>
          <w:szCs w:val="24"/>
        </w:rPr>
        <w:t xml:space="preserve"> </w:t>
      </w:r>
      <w:r w:rsidRPr="002E3E88">
        <w:rPr>
          <w:szCs w:val="24"/>
        </w:rPr>
        <w:t>matrices and eliminating non critical items. An alpha of 0.7 and above is considered acceptable</w:t>
      </w:r>
      <w:r>
        <w:rPr>
          <w:szCs w:val="24"/>
        </w:rPr>
        <w:t xml:space="preserve"> </w:t>
      </w:r>
      <w:r w:rsidRPr="002E3E88">
        <w:rPr>
          <w:szCs w:val="24"/>
        </w:rPr>
        <w:t>for the present study. The actual value obtained when a validity test was carried out for the</w:t>
      </w:r>
      <w:r>
        <w:rPr>
          <w:szCs w:val="24"/>
        </w:rPr>
        <w:t xml:space="preserve"> </w:t>
      </w:r>
      <w:r w:rsidRPr="002E3E88">
        <w:rPr>
          <w:szCs w:val="24"/>
        </w:rPr>
        <w:t>present study was at an alpha of 0.942; it was therefore deemed suitable and reliable.</w:t>
      </w:r>
    </w:p>
    <w:p w:rsidR="00195DAF" w:rsidRPr="009C61EB" w:rsidRDefault="00195DAF" w:rsidP="00195DAF">
      <w:pPr>
        <w:pStyle w:val="Heading2"/>
        <w:rPr>
          <w:b/>
          <w:szCs w:val="24"/>
        </w:rPr>
      </w:pPr>
      <w:bookmarkStart w:id="5" w:name="_Toc46003430"/>
      <w:r w:rsidRPr="000F322B">
        <w:rPr>
          <w:b/>
          <w:i w:val="0"/>
          <w:szCs w:val="24"/>
        </w:rPr>
        <w:t>5.6</w:t>
      </w:r>
      <w:r w:rsidRPr="002E3E88">
        <w:rPr>
          <w:b/>
          <w:szCs w:val="24"/>
        </w:rPr>
        <w:t xml:space="preserve"> </w:t>
      </w:r>
      <w:r w:rsidRPr="00195DAF">
        <w:rPr>
          <w:b/>
          <w:i w:val="0"/>
          <w:szCs w:val="24"/>
        </w:rPr>
        <w:t>Data Analysis</w:t>
      </w:r>
      <w:bookmarkEnd w:id="5"/>
      <w:r w:rsidRPr="002E3E88">
        <w:rPr>
          <w:b/>
          <w:szCs w:val="24"/>
        </w:rPr>
        <w:t xml:space="preserve"> </w:t>
      </w:r>
      <w:r w:rsidRPr="009C61EB" w:rsidDel="001B4CF6">
        <w:rPr>
          <w:b/>
          <w:szCs w:val="24"/>
        </w:rPr>
        <w:t xml:space="preserve"> </w:t>
      </w:r>
    </w:p>
    <w:p w:rsidR="00195DAF" w:rsidRDefault="00195DAF" w:rsidP="00195DAF">
      <w:pPr>
        <w:tabs>
          <w:tab w:val="left" w:pos="5040"/>
        </w:tabs>
        <w:spacing w:line="360" w:lineRule="auto"/>
        <w:jc w:val="both"/>
        <w:rPr>
          <w:szCs w:val="24"/>
        </w:rPr>
      </w:pPr>
      <w:r w:rsidRPr="00FD6DB8">
        <w:rPr>
          <w:szCs w:val="24"/>
        </w:rPr>
        <w:t>The relationship between the independent variables and the dependent va</w:t>
      </w:r>
      <w:r>
        <w:rPr>
          <w:szCs w:val="24"/>
        </w:rPr>
        <w:t>riables was</w:t>
      </w:r>
      <w:r w:rsidRPr="00FD6DB8">
        <w:rPr>
          <w:szCs w:val="24"/>
        </w:rPr>
        <w:t xml:space="preserve"> determined by use of</w:t>
      </w:r>
      <w:r w:rsidR="00F42B53">
        <w:rPr>
          <w:szCs w:val="24"/>
        </w:rPr>
        <w:t xml:space="preserve"> correlation and</w:t>
      </w:r>
      <w:r w:rsidRPr="00FD6DB8">
        <w:rPr>
          <w:szCs w:val="24"/>
        </w:rPr>
        <w:t xml:space="preserve"> multiple regre</w:t>
      </w:r>
      <w:r>
        <w:rPr>
          <w:szCs w:val="24"/>
        </w:rPr>
        <w:t>ssion analysis. The data was</w:t>
      </w:r>
      <w:r w:rsidRPr="00FD6DB8">
        <w:rPr>
          <w:szCs w:val="24"/>
        </w:rPr>
        <w:t xml:space="preserve"> prepared and analyzed using Microsoft (MS) Excel and STATA package</w:t>
      </w:r>
      <w:r>
        <w:rPr>
          <w:szCs w:val="24"/>
        </w:rPr>
        <w:t xml:space="preserve"> version 13</w:t>
      </w:r>
      <w:r w:rsidRPr="00FD6DB8">
        <w:rPr>
          <w:szCs w:val="24"/>
        </w:rPr>
        <w:t xml:space="preserve">. </w:t>
      </w:r>
      <w:r>
        <w:rPr>
          <w:szCs w:val="24"/>
        </w:rPr>
        <w:t>The data was</w:t>
      </w:r>
      <w:r w:rsidRPr="00FD6DB8">
        <w:rPr>
          <w:szCs w:val="24"/>
        </w:rPr>
        <w:t xml:space="preserve"> presented using graphs and table so as to provide a clear picture of the research findings. A ten-year (2008-2017) </w:t>
      </w:r>
      <w:r>
        <w:rPr>
          <w:szCs w:val="24"/>
        </w:rPr>
        <w:t>panel data was</w:t>
      </w:r>
      <w:r w:rsidRPr="00FD6DB8">
        <w:rPr>
          <w:szCs w:val="24"/>
        </w:rPr>
        <w:t xml:space="preserve"> considered</w:t>
      </w:r>
      <w:r>
        <w:rPr>
          <w:szCs w:val="24"/>
        </w:rPr>
        <w:t xml:space="preserve"> in the study</w:t>
      </w:r>
      <w:r w:rsidRPr="00FD6DB8">
        <w:rPr>
          <w:szCs w:val="24"/>
        </w:rPr>
        <w:t xml:space="preserve">. </w:t>
      </w:r>
      <w:r>
        <w:rPr>
          <w:szCs w:val="24"/>
        </w:rPr>
        <w:t xml:space="preserve"> </w:t>
      </w:r>
    </w:p>
    <w:p w:rsidR="00964861" w:rsidRDefault="00964861" w:rsidP="00195DAF">
      <w:pPr>
        <w:tabs>
          <w:tab w:val="left" w:pos="5040"/>
        </w:tabs>
        <w:spacing w:line="360" w:lineRule="auto"/>
        <w:jc w:val="both"/>
        <w:rPr>
          <w:szCs w:val="24"/>
        </w:rPr>
      </w:pPr>
    </w:p>
    <w:p w:rsidR="00A20C28" w:rsidRPr="00BC6B8F" w:rsidRDefault="00A20C28" w:rsidP="00A20103">
      <w:pPr>
        <w:pStyle w:val="ListNumber"/>
        <w:numPr>
          <w:ilvl w:val="0"/>
          <w:numId w:val="13"/>
        </w:numPr>
        <w:spacing w:line="360" w:lineRule="auto"/>
        <w:rPr>
          <w:b/>
          <w:sz w:val="28"/>
          <w:szCs w:val="28"/>
        </w:rPr>
      </w:pPr>
      <w:r w:rsidRPr="00BC6B8F">
        <w:rPr>
          <w:b/>
          <w:sz w:val="28"/>
          <w:szCs w:val="28"/>
        </w:rPr>
        <w:t xml:space="preserve">RESULTS </w:t>
      </w:r>
    </w:p>
    <w:p w:rsidR="00AD6450" w:rsidRDefault="00AD6450" w:rsidP="00AD6450">
      <w:pPr>
        <w:pStyle w:val="ListNumber"/>
        <w:spacing w:line="360" w:lineRule="auto"/>
        <w:rPr>
          <w:b/>
        </w:rPr>
      </w:pPr>
      <w:r>
        <w:rPr>
          <w:b/>
        </w:rPr>
        <w:t>6.1 Descriptive Statistics</w:t>
      </w:r>
    </w:p>
    <w:p w:rsidR="00310BDA" w:rsidRDefault="00310BDA" w:rsidP="00310BDA">
      <w:pPr>
        <w:pStyle w:val="ListNumber"/>
        <w:spacing w:line="360" w:lineRule="auto"/>
        <w:rPr>
          <w:b/>
        </w:rPr>
      </w:pPr>
      <w:r>
        <w:rPr>
          <w:b/>
        </w:rPr>
        <w:t>6.1</w:t>
      </w:r>
      <w:r w:rsidR="00AD6450">
        <w:rPr>
          <w:b/>
        </w:rPr>
        <w:t>.1</w:t>
      </w:r>
      <w:r>
        <w:rPr>
          <w:b/>
        </w:rPr>
        <w:t xml:space="preserve"> Trend</w:t>
      </w:r>
      <w:r w:rsidRPr="00310BDA">
        <w:rPr>
          <w:b/>
        </w:rPr>
        <w:t xml:space="preserve"> of performance of Kenya’s commercial banks</w:t>
      </w:r>
    </w:p>
    <w:p w:rsidR="00310BDA" w:rsidRDefault="00310BDA" w:rsidP="00310BDA">
      <w:pPr>
        <w:pStyle w:val="ListNumber"/>
        <w:spacing w:line="360" w:lineRule="auto"/>
        <w:jc w:val="both"/>
      </w:pPr>
      <w:r w:rsidRPr="00310BDA">
        <w:t>The study sought to establish the trend of performance of the commercial banks in Kenya. Secondary data was collected from the banks’ financial statements and reports for the years between 2008 and 201</w:t>
      </w:r>
      <w:r>
        <w:t>7</w:t>
      </w:r>
      <w:r w:rsidRPr="00310BDA">
        <w:t>. The study collected data on Return on Assets which was measured as the amount of net income returned as a percentage of total assets.</w:t>
      </w:r>
      <w:r>
        <w:t xml:space="preserve"> The study observed that there was intermittent performance of banks in terms of ROA between 2008 and 2017, with the highest growth rate being recorded between 2010 and 2011. This may be perhaps explained by the presence of favourable economic growth environment prevailing at that time. This agrees with another study by Ali (2011) who observed that when economic growth increases profitability also increases.</w:t>
      </w:r>
    </w:p>
    <w:p w:rsidR="00310BDA" w:rsidRDefault="00310BDA" w:rsidP="00310BDA">
      <w:pPr>
        <w:pStyle w:val="ListNumber"/>
        <w:spacing w:line="360" w:lineRule="auto"/>
        <w:jc w:val="both"/>
      </w:pPr>
    </w:p>
    <w:p w:rsidR="00AD6450" w:rsidRDefault="00AD6450" w:rsidP="00310BDA">
      <w:pPr>
        <w:pStyle w:val="ListNumber"/>
        <w:spacing w:line="360" w:lineRule="auto"/>
        <w:jc w:val="both"/>
        <w:rPr>
          <w:b/>
        </w:rPr>
      </w:pPr>
      <w:r w:rsidRPr="00AD6450">
        <w:rPr>
          <w:b/>
        </w:rPr>
        <w:t>6.2 Inferential Statistics</w:t>
      </w:r>
    </w:p>
    <w:p w:rsidR="00AD6450" w:rsidRDefault="002062DD" w:rsidP="000A53EE">
      <w:pPr>
        <w:spacing w:line="360" w:lineRule="auto"/>
        <w:jc w:val="both"/>
      </w:pPr>
      <w:r w:rsidRPr="00492152">
        <w:rPr>
          <w:szCs w:val="24"/>
        </w:rPr>
        <w:t>Inferential statistics allow</w:t>
      </w:r>
      <w:r>
        <w:rPr>
          <w:szCs w:val="24"/>
        </w:rPr>
        <w:t>ed</w:t>
      </w:r>
      <w:r w:rsidRPr="00492152">
        <w:rPr>
          <w:szCs w:val="24"/>
        </w:rPr>
        <w:t xml:space="preserve"> the researcher to draw conclusions about the population on the basis of data obtained from samples. It </w:t>
      </w:r>
      <w:r>
        <w:rPr>
          <w:szCs w:val="24"/>
        </w:rPr>
        <w:t>was</w:t>
      </w:r>
      <w:r w:rsidRPr="00492152">
        <w:rPr>
          <w:szCs w:val="24"/>
        </w:rPr>
        <w:t xml:space="preserve"> used to draw conclusions about the population itself. Pearson correlation coefficient and t-test</w:t>
      </w:r>
      <w:r w:rsidRPr="00E73C82">
        <w:rPr>
          <w:szCs w:val="24"/>
        </w:rPr>
        <w:t xml:space="preserve"> for regression coefficients analysis results are presented in this section to evaluate the relationship between the dependent and independent variable. ANOVA test was done to establish if there was a significant difference in the means.</w:t>
      </w:r>
      <w:r>
        <w:rPr>
          <w:szCs w:val="24"/>
        </w:rPr>
        <w:t xml:space="preserve"> </w:t>
      </w:r>
      <w:r w:rsidR="00AD6450" w:rsidRPr="00AD6450">
        <w:t xml:space="preserve">Coefficient of determination (R square) explains the extent to which change in the dependent </w:t>
      </w:r>
      <w:r w:rsidR="00AD6450" w:rsidRPr="00AD6450">
        <w:lastRenderedPageBreak/>
        <w:t xml:space="preserve">variable can be explained by the change in the independent variables or the percentage of variation in the dependent variable that is explained by the independent variables. </w:t>
      </w:r>
    </w:p>
    <w:p w:rsidR="0070003E" w:rsidRDefault="0070003E" w:rsidP="00AD6450">
      <w:pPr>
        <w:spacing w:line="360" w:lineRule="auto"/>
        <w:jc w:val="both"/>
      </w:pPr>
    </w:p>
    <w:p w:rsidR="0070003E" w:rsidRPr="0070003E" w:rsidRDefault="0070003E" w:rsidP="00AD6450">
      <w:pPr>
        <w:spacing w:line="360" w:lineRule="auto"/>
        <w:jc w:val="both"/>
        <w:rPr>
          <w:b/>
        </w:rPr>
      </w:pPr>
      <w:r w:rsidRPr="0070003E">
        <w:rPr>
          <w:b/>
        </w:rPr>
        <w:t xml:space="preserve">6.2.1 Correlation </w:t>
      </w:r>
    </w:p>
    <w:p w:rsidR="0070003E" w:rsidRDefault="0070003E" w:rsidP="000A53EE">
      <w:pPr>
        <w:tabs>
          <w:tab w:val="left" w:pos="90"/>
          <w:tab w:val="left" w:pos="1275"/>
        </w:tabs>
        <w:spacing w:line="360" w:lineRule="auto"/>
        <w:jc w:val="both"/>
      </w:pPr>
      <w:r w:rsidRPr="0070003E">
        <w:t xml:space="preserve">In order to establish the strength and direction of that relationship, the profitability index was correlated with corporate cash holding index using Pearson’s correlation at 0.05% level of significance. The profitability index was the summation of items that measured corporate cash holding index. Correlation results for profitability on corporate cash holding were obtained.  </w:t>
      </w:r>
    </w:p>
    <w:p w:rsidR="0070003E" w:rsidRDefault="0070003E" w:rsidP="0070003E">
      <w:pPr>
        <w:spacing w:line="360" w:lineRule="auto"/>
        <w:jc w:val="both"/>
      </w:pPr>
    </w:p>
    <w:p w:rsidR="0070003E" w:rsidRPr="000A53EE" w:rsidRDefault="000A53EE" w:rsidP="0070003E">
      <w:pPr>
        <w:autoSpaceDE w:val="0"/>
        <w:autoSpaceDN w:val="0"/>
        <w:adjustRightInd w:val="0"/>
        <w:rPr>
          <w:b/>
          <w:lang w:val="en-US"/>
        </w:rPr>
      </w:pPr>
      <w:r w:rsidRPr="000A53EE">
        <w:rPr>
          <w:b/>
          <w:lang w:val="en-US"/>
        </w:rPr>
        <w:t xml:space="preserve">Table 1: </w:t>
      </w:r>
      <w:r w:rsidR="0070003E" w:rsidRPr="000A53EE">
        <w:rPr>
          <w:b/>
          <w:lang w:val="en-US"/>
        </w:rPr>
        <w:t>Correlation Matrix of Profitability and corporate cash holding</w:t>
      </w:r>
    </w:p>
    <w:tbl>
      <w:tblPr>
        <w:tblW w:w="861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20"/>
        <w:gridCol w:w="2250"/>
        <w:gridCol w:w="2160"/>
        <w:gridCol w:w="2580"/>
      </w:tblGrid>
      <w:tr w:rsidR="0070003E" w:rsidRPr="0070003E" w:rsidTr="0070003E">
        <w:trPr>
          <w:cantSplit/>
          <w:tblHeader/>
        </w:trPr>
        <w:tc>
          <w:tcPr>
            <w:tcW w:w="8610" w:type="dxa"/>
            <w:gridSpan w:val="4"/>
            <w:tcBorders>
              <w:top w:val="nil"/>
              <w:left w:val="nil"/>
              <w:bottom w:val="single" w:sz="4" w:space="0" w:color="auto"/>
              <w:right w:val="nil"/>
            </w:tcBorders>
            <w:shd w:val="clear" w:color="auto" w:fill="FFFFFF"/>
            <w:tcMar>
              <w:top w:w="30" w:type="dxa"/>
              <w:left w:w="30" w:type="dxa"/>
              <w:bottom w:w="30" w:type="dxa"/>
              <w:right w:w="30" w:type="dxa"/>
            </w:tcMar>
            <w:vAlign w:val="center"/>
          </w:tcPr>
          <w:p w:rsidR="0070003E" w:rsidRPr="0070003E" w:rsidRDefault="0070003E" w:rsidP="002F5BCA">
            <w:pPr>
              <w:autoSpaceDE w:val="0"/>
              <w:autoSpaceDN w:val="0"/>
              <w:adjustRightInd w:val="0"/>
              <w:rPr>
                <w:lang w:val="en-US"/>
              </w:rPr>
            </w:pPr>
          </w:p>
        </w:tc>
      </w:tr>
      <w:tr w:rsidR="0070003E" w:rsidRPr="0070003E" w:rsidTr="0070003E">
        <w:trPr>
          <w:cantSplit/>
          <w:tblHeader/>
        </w:trPr>
        <w:tc>
          <w:tcPr>
            <w:tcW w:w="16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70003E" w:rsidRPr="0070003E" w:rsidRDefault="0070003E" w:rsidP="002F5BCA">
            <w:pPr>
              <w:autoSpaceDE w:val="0"/>
              <w:autoSpaceDN w:val="0"/>
              <w:adjustRightInd w:val="0"/>
              <w:rPr>
                <w:lang w:val="en-US"/>
              </w:rPr>
            </w:pPr>
          </w:p>
        </w:tc>
        <w:tc>
          <w:tcPr>
            <w:tcW w:w="22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70003E" w:rsidRPr="0070003E" w:rsidRDefault="0070003E" w:rsidP="002F5BCA">
            <w:pPr>
              <w:autoSpaceDE w:val="0"/>
              <w:autoSpaceDN w:val="0"/>
              <w:adjustRightInd w:val="0"/>
              <w:rPr>
                <w:lang w:val="en-US"/>
              </w:rPr>
            </w:pPr>
          </w:p>
        </w:tc>
        <w:tc>
          <w:tcPr>
            <w:tcW w:w="216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70003E" w:rsidRPr="0070003E" w:rsidRDefault="0070003E" w:rsidP="001902CB">
            <w:pPr>
              <w:autoSpaceDE w:val="0"/>
              <w:autoSpaceDN w:val="0"/>
              <w:adjustRightInd w:val="0"/>
              <w:jc w:val="center"/>
              <w:rPr>
                <w:b/>
                <w:lang w:val="en-US"/>
              </w:rPr>
            </w:pPr>
            <w:r w:rsidRPr="0070003E">
              <w:rPr>
                <w:b/>
                <w:i/>
                <w:lang w:val="en-US"/>
              </w:rPr>
              <w:t>Profitability</w:t>
            </w:r>
          </w:p>
        </w:tc>
        <w:tc>
          <w:tcPr>
            <w:tcW w:w="258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70003E" w:rsidRPr="0070003E" w:rsidRDefault="0070003E" w:rsidP="001902CB">
            <w:pPr>
              <w:autoSpaceDE w:val="0"/>
              <w:autoSpaceDN w:val="0"/>
              <w:adjustRightInd w:val="0"/>
              <w:jc w:val="center"/>
              <w:rPr>
                <w:b/>
                <w:lang w:val="en-US"/>
              </w:rPr>
            </w:pPr>
            <w:r w:rsidRPr="0070003E">
              <w:rPr>
                <w:b/>
                <w:i/>
                <w:lang w:val="en-US"/>
              </w:rPr>
              <w:t>Corporate Cash Holding</w:t>
            </w:r>
          </w:p>
        </w:tc>
      </w:tr>
      <w:tr w:rsidR="0070003E" w:rsidRPr="0070003E" w:rsidTr="0070003E">
        <w:trPr>
          <w:cantSplit/>
          <w:tblHeader/>
        </w:trPr>
        <w:tc>
          <w:tcPr>
            <w:tcW w:w="1620" w:type="dxa"/>
            <w:vMerge w:val="restart"/>
            <w:tcBorders>
              <w:top w:val="single" w:sz="4" w:space="0" w:color="auto"/>
              <w:left w:val="nil"/>
              <w:bottom w:val="nil"/>
              <w:right w:val="nil"/>
            </w:tcBorders>
            <w:shd w:val="clear" w:color="auto" w:fill="FFFFFF"/>
            <w:tcMar>
              <w:top w:w="30" w:type="dxa"/>
              <w:left w:w="30" w:type="dxa"/>
              <w:bottom w:w="30" w:type="dxa"/>
              <w:right w:w="30" w:type="dxa"/>
            </w:tcMar>
          </w:tcPr>
          <w:p w:rsidR="0070003E" w:rsidRPr="0070003E" w:rsidRDefault="0070003E" w:rsidP="002F5BCA">
            <w:pPr>
              <w:autoSpaceDE w:val="0"/>
              <w:autoSpaceDN w:val="0"/>
              <w:adjustRightInd w:val="0"/>
              <w:rPr>
                <w:b/>
                <w:lang w:val="en-US"/>
              </w:rPr>
            </w:pPr>
            <w:r w:rsidRPr="0070003E">
              <w:rPr>
                <w:b/>
                <w:lang w:val="en-US"/>
              </w:rPr>
              <w:t xml:space="preserve"> </w:t>
            </w:r>
            <w:r w:rsidRPr="0070003E">
              <w:rPr>
                <w:b/>
                <w:i/>
                <w:lang w:val="en-US"/>
              </w:rPr>
              <w:t>Profitability</w:t>
            </w:r>
          </w:p>
        </w:tc>
        <w:tc>
          <w:tcPr>
            <w:tcW w:w="2250" w:type="dxa"/>
            <w:tcBorders>
              <w:top w:val="single" w:sz="4" w:space="0" w:color="auto"/>
              <w:left w:val="nil"/>
              <w:bottom w:val="nil"/>
              <w:right w:val="nil"/>
            </w:tcBorders>
            <w:shd w:val="clear" w:color="auto" w:fill="FFFFFF"/>
            <w:tcMar>
              <w:top w:w="30" w:type="dxa"/>
              <w:left w:w="30" w:type="dxa"/>
              <w:bottom w:w="30" w:type="dxa"/>
              <w:right w:w="30" w:type="dxa"/>
            </w:tcMar>
          </w:tcPr>
          <w:p w:rsidR="0070003E" w:rsidRPr="0070003E" w:rsidRDefault="0070003E" w:rsidP="002F5BCA">
            <w:pPr>
              <w:autoSpaceDE w:val="0"/>
              <w:autoSpaceDN w:val="0"/>
              <w:adjustRightInd w:val="0"/>
              <w:rPr>
                <w:lang w:val="en-US"/>
              </w:rPr>
            </w:pPr>
            <w:r w:rsidRPr="0070003E">
              <w:rPr>
                <w:lang w:val="en-US"/>
              </w:rPr>
              <w:t>Pearson Correlation</w:t>
            </w:r>
          </w:p>
        </w:tc>
        <w:tc>
          <w:tcPr>
            <w:tcW w:w="2160"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70003E" w:rsidRPr="0070003E" w:rsidRDefault="0070003E" w:rsidP="0070003E">
            <w:pPr>
              <w:autoSpaceDE w:val="0"/>
              <w:autoSpaceDN w:val="0"/>
              <w:adjustRightInd w:val="0"/>
              <w:jc w:val="center"/>
              <w:rPr>
                <w:lang w:val="en-US"/>
              </w:rPr>
            </w:pPr>
            <w:r w:rsidRPr="0070003E">
              <w:rPr>
                <w:lang w:val="en-US"/>
              </w:rPr>
              <w:t>1</w:t>
            </w:r>
          </w:p>
        </w:tc>
        <w:tc>
          <w:tcPr>
            <w:tcW w:w="2580"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70003E" w:rsidRPr="0070003E" w:rsidRDefault="0070003E" w:rsidP="00F42095">
            <w:pPr>
              <w:autoSpaceDE w:val="0"/>
              <w:autoSpaceDN w:val="0"/>
              <w:adjustRightInd w:val="0"/>
              <w:jc w:val="center"/>
              <w:rPr>
                <w:lang w:val="en-US"/>
              </w:rPr>
            </w:pPr>
            <w:r w:rsidRPr="0070003E">
              <w:rPr>
                <w:lang w:val="en-US"/>
              </w:rPr>
              <w:t>.</w:t>
            </w:r>
            <w:r w:rsidR="00F42095">
              <w:rPr>
                <w:lang w:val="en-US"/>
              </w:rPr>
              <w:t>5</w:t>
            </w:r>
            <w:r w:rsidRPr="0070003E">
              <w:rPr>
                <w:lang w:val="en-US"/>
              </w:rPr>
              <w:t>17</w:t>
            </w:r>
            <w:r w:rsidRPr="0070003E">
              <w:rPr>
                <w:vertAlign w:val="superscript"/>
                <w:lang w:val="en-US"/>
              </w:rPr>
              <w:t>*</w:t>
            </w:r>
          </w:p>
        </w:tc>
      </w:tr>
      <w:tr w:rsidR="0070003E" w:rsidRPr="0070003E" w:rsidTr="0070003E">
        <w:trPr>
          <w:cantSplit/>
          <w:tblHeader/>
        </w:trPr>
        <w:tc>
          <w:tcPr>
            <w:tcW w:w="1620" w:type="dxa"/>
            <w:vMerge/>
            <w:tcBorders>
              <w:top w:val="nil"/>
              <w:left w:val="nil"/>
              <w:bottom w:val="nil"/>
              <w:right w:val="nil"/>
            </w:tcBorders>
            <w:shd w:val="clear" w:color="auto" w:fill="FFFFFF"/>
            <w:tcMar>
              <w:top w:w="30" w:type="dxa"/>
              <w:left w:w="30" w:type="dxa"/>
              <w:bottom w:w="30" w:type="dxa"/>
              <w:right w:w="30" w:type="dxa"/>
            </w:tcMar>
          </w:tcPr>
          <w:p w:rsidR="0070003E" w:rsidRPr="0070003E" w:rsidRDefault="0070003E" w:rsidP="002F5BCA">
            <w:pPr>
              <w:autoSpaceDE w:val="0"/>
              <w:autoSpaceDN w:val="0"/>
              <w:adjustRightInd w:val="0"/>
              <w:rPr>
                <w:b/>
                <w:lang w:val="en-US"/>
              </w:rPr>
            </w:pPr>
          </w:p>
        </w:tc>
        <w:tc>
          <w:tcPr>
            <w:tcW w:w="2250" w:type="dxa"/>
            <w:tcBorders>
              <w:top w:val="nil"/>
              <w:left w:val="nil"/>
              <w:bottom w:val="nil"/>
              <w:right w:val="nil"/>
            </w:tcBorders>
            <w:shd w:val="clear" w:color="auto" w:fill="FFFFFF"/>
            <w:tcMar>
              <w:top w:w="30" w:type="dxa"/>
              <w:left w:w="30" w:type="dxa"/>
              <w:bottom w:w="30" w:type="dxa"/>
              <w:right w:w="30" w:type="dxa"/>
            </w:tcMar>
          </w:tcPr>
          <w:p w:rsidR="0070003E" w:rsidRPr="0070003E" w:rsidRDefault="0070003E" w:rsidP="002F5BCA">
            <w:pPr>
              <w:autoSpaceDE w:val="0"/>
              <w:autoSpaceDN w:val="0"/>
              <w:adjustRightInd w:val="0"/>
              <w:rPr>
                <w:lang w:val="en-US"/>
              </w:rPr>
            </w:pPr>
            <w:r w:rsidRPr="0070003E">
              <w:rPr>
                <w:lang w:val="en-US"/>
              </w:rPr>
              <w:t>Sig. (2-tailed)</w:t>
            </w:r>
          </w:p>
        </w:tc>
        <w:tc>
          <w:tcPr>
            <w:tcW w:w="2160" w:type="dxa"/>
            <w:tcBorders>
              <w:top w:val="nil"/>
              <w:left w:val="nil"/>
              <w:bottom w:val="nil"/>
              <w:right w:val="nil"/>
            </w:tcBorders>
            <w:shd w:val="clear" w:color="auto" w:fill="FFFFFF"/>
            <w:tcMar>
              <w:top w:w="30" w:type="dxa"/>
              <w:left w:w="30" w:type="dxa"/>
              <w:bottom w:w="30" w:type="dxa"/>
              <w:right w:w="30" w:type="dxa"/>
            </w:tcMar>
          </w:tcPr>
          <w:p w:rsidR="0070003E" w:rsidRPr="0070003E" w:rsidRDefault="0070003E" w:rsidP="0070003E">
            <w:pPr>
              <w:autoSpaceDE w:val="0"/>
              <w:autoSpaceDN w:val="0"/>
              <w:adjustRightInd w:val="0"/>
              <w:jc w:val="center"/>
              <w:rPr>
                <w:lang w:val="en-US"/>
              </w:rPr>
            </w:pPr>
          </w:p>
        </w:tc>
        <w:tc>
          <w:tcPr>
            <w:tcW w:w="2580" w:type="dxa"/>
            <w:tcBorders>
              <w:top w:val="nil"/>
              <w:left w:val="nil"/>
              <w:bottom w:val="nil"/>
              <w:right w:val="nil"/>
            </w:tcBorders>
            <w:shd w:val="clear" w:color="auto" w:fill="FFFFFF"/>
            <w:tcMar>
              <w:top w:w="30" w:type="dxa"/>
              <w:left w:w="30" w:type="dxa"/>
              <w:bottom w:w="30" w:type="dxa"/>
              <w:right w:w="30" w:type="dxa"/>
            </w:tcMar>
            <w:vAlign w:val="center"/>
          </w:tcPr>
          <w:p w:rsidR="0070003E" w:rsidRPr="0070003E" w:rsidRDefault="0070003E" w:rsidP="0070003E">
            <w:pPr>
              <w:autoSpaceDE w:val="0"/>
              <w:autoSpaceDN w:val="0"/>
              <w:adjustRightInd w:val="0"/>
              <w:jc w:val="center"/>
              <w:rPr>
                <w:lang w:val="en-US"/>
              </w:rPr>
            </w:pPr>
            <w:r w:rsidRPr="0070003E">
              <w:rPr>
                <w:lang w:val="en-US"/>
              </w:rPr>
              <w:t>.011</w:t>
            </w:r>
          </w:p>
        </w:tc>
      </w:tr>
      <w:tr w:rsidR="0070003E" w:rsidRPr="0070003E" w:rsidTr="0070003E">
        <w:trPr>
          <w:cantSplit/>
          <w:tblHeader/>
        </w:trPr>
        <w:tc>
          <w:tcPr>
            <w:tcW w:w="1620" w:type="dxa"/>
            <w:vMerge w:val="restart"/>
            <w:tcBorders>
              <w:top w:val="nil"/>
              <w:left w:val="nil"/>
              <w:bottom w:val="nil"/>
              <w:right w:val="nil"/>
            </w:tcBorders>
            <w:shd w:val="clear" w:color="auto" w:fill="FFFFFF"/>
            <w:tcMar>
              <w:top w:w="30" w:type="dxa"/>
              <w:left w:w="30" w:type="dxa"/>
              <w:bottom w:w="30" w:type="dxa"/>
              <w:right w:w="30" w:type="dxa"/>
            </w:tcMar>
          </w:tcPr>
          <w:p w:rsidR="0070003E" w:rsidRPr="0070003E" w:rsidRDefault="0070003E" w:rsidP="002F5BCA">
            <w:pPr>
              <w:autoSpaceDE w:val="0"/>
              <w:autoSpaceDN w:val="0"/>
              <w:adjustRightInd w:val="0"/>
              <w:rPr>
                <w:b/>
                <w:lang w:val="en-US"/>
              </w:rPr>
            </w:pPr>
            <w:r w:rsidRPr="0070003E">
              <w:rPr>
                <w:b/>
                <w:i/>
                <w:lang w:val="en-US"/>
              </w:rPr>
              <w:t>Corporate Cash Holding</w:t>
            </w:r>
          </w:p>
        </w:tc>
        <w:tc>
          <w:tcPr>
            <w:tcW w:w="2250" w:type="dxa"/>
            <w:tcBorders>
              <w:top w:val="nil"/>
              <w:left w:val="nil"/>
              <w:bottom w:val="nil"/>
              <w:right w:val="nil"/>
            </w:tcBorders>
            <w:shd w:val="clear" w:color="auto" w:fill="FFFFFF"/>
            <w:tcMar>
              <w:top w:w="30" w:type="dxa"/>
              <w:left w:w="30" w:type="dxa"/>
              <w:bottom w:w="30" w:type="dxa"/>
              <w:right w:w="30" w:type="dxa"/>
            </w:tcMar>
          </w:tcPr>
          <w:p w:rsidR="0070003E" w:rsidRPr="0070003E" w:rsidRDefault="0070003E" w:rsidP="002F5BCA">
            <w:pPr>
              <w:autoSpaceDE w:val="0"/>
              <w:autoSpaceDN w:val="0"/>
              <w:adjustRightInd w:val="0"/>
              <w:rPr>
                <w:lang w:val="en-US"/>
              </w:rPr>
            </w:pPr>
            <w:r w:rsidRPr="0070003E">
              <w:rPr>
                <w:lang w:val="en-US"/>
              </w:rPr>
              <w:t>Pearson Correlation</w:t>
            </w:r>
          </w:p>
        </w:tc>
        <w:tc>
          <w:tcPr>
            <w:tcW w:w="2160" w:type="dxa"/>
            <w:tcBorders>
              <w:top w:val="nil"/>
              <w:left w:val="nil"/>
              <w:bottom w:val="nil"/>
              <w:right w:val="nil"/>
            </w:tcBorders>
            <w:shd w:val="clear" w:color="auto" w:fill="FFFFFF"/>
            <w:tcMar>
              <w:top w:w="30" w:type="dxa"/>
              <w:left w:w="30" w:type="dxa"/>
              <w:bottom w:w="30" w:type="dxa"/>
              <w:right w:w="30" w:type="dxa"/>
            </w:tcMar>
            <w:vAlign w:val="center"/>
          </w:tcPr>
          <w:p w:rsidR="0070003E" w:rsidRPr="0070003E" w:rsidRDefault="0070003E" w:rsidP="00F42095">
            <w:pPr>
              <w:autoSpaceDE w:val="0"/>
              <w:autoSpaceDN w:val="0"/>
              <w:adjustRightInd w:val="0"/>
              <w:jc w:val="center"/>
              <w:rPr>
                <w:lang w:val="en-US"/>
              </w:rPr>
            </w:pPr>
            <w:r w:rsidRPr="0070003E">
              <w:rPr>
                <w:lang w:val="en-US"/>
              </w:rPr>
              <w:t>.</w:t>
            </w:r>
            <w:r w:rsidR="00F42095">
              <w:rPr>
                <w:lang w:val="en-US"/>
              </w:rPr>
              <w:t>5</w:t>
            </w:r>
            <w:r w:rsidRPr="0070003E">
              <w:rPr>
                <w:lang w:val="en-US"/>
              </w:rPr>
              <w:t>17</w:t>
            </w:r>
            <w:r w:rsidRPr="0070003E">
              <w:rPr>
                <w:vertAlign w:val="superscript"/>
                <w:lang w:val="en-US"/>
              </w:rPr>
              <w:t>*</w:t>
            </w:r>
          </w:p>
        </w:tc>
        <w:tc>
          <w:tcPr>
            <w:tcW w:w="2580" w:type="dxa"/>
            <w:tcBorders>
              <w:top w:val="nil"/>
              <w:left w:val="nil"/>
              <w:bottom w:val="nil"/>
              <w:right w:val="nil"/>
            </w:tcBorders>
            <w:shd w:val="clear" w:color="auto" w:fill="FFFFFF"/>
            <w:tcMar>
              <w:top w:w="30" w:type="dxa"/>
              <w:left w:w="30" w:type="dxa"/>
              <w:bottom w:w="30" w:type="dxa"/>
              <w:right w:w="30" w:type="dxa"/>
            </w:tcMar>
            <w:vAlign w:val="center"/>
          </w:tcPr>
          <w:p w:rsidR="0070003E" w:rsidRPr="0070003E" w:rsidRDefault="0070003E" w:rsidP="0070003E">
            <w:pPr>
              <w:autoSpaceDE w:val="0"/>
              <w:autoSpaceDN w:val="0"/>
              <w:adjustRightInd w:val="0"/>
              <w:jc w:val="center"/>
              <w:rPr>
                <w:lang w:val="en-US"/>
              </w:rPr>
            </w:pPr>
            <w:r w:rsidRPr="0070003E">
              <w:rPr>
                <w:lang w:val="en-US"/>
              </w:rPr>
              <w:t>1</w:t>
            </w:r>
          </w:p>
        </w:tc>
      </w:tr>
      <w:tr w:rsidR="0070003E" w:rsidRPr="0070003E" w:rsidTr="0070003E">
        <w:trPr>
          <w:cantSplit/>
          <w:tblHeader/>
        </w:trPr>
        <w:tc>
          <w:tcPr>
            <w:tcW w:w="1620" w:type="dxa"/>
            <w:vMerge/>
            <w:tcBorders>
              <w:top w:val="nil"/>
              <w:left w:val="nil"/>
              <w:bottom w:val="nil"/>
              <w:right w:val="nil"/>
            </w:tcBorders>
            <w:shd w:val="clear" w:color="auto" w:fill="FFFFFF"/>
            <w:tcMar>
              <w:top w:w="30" w:type="dxa"/>
              <w:left w:w="30" w:type="dxa"/>
              <w:bottom w:w="30" w:type="dxa"/>
              <w:right w:w="30" w:type="dxa"/>
            </w:tcMar>
          </w:tcPr>
          <w:p w:rsidR="0070003E" w:rsidRPr="0070003E" w:rsidRDefault="0070003E" w:rsidP="002F5BCA">
            <w:pPr>
              <w:autoSpaceDE w:val="0"/>
              <w:autoSpaceDN w:val="0"/>
              <w:adjustRightInd w:val="0"/>
              <w:rPr>
                <w:lang w:val="en-US"/>
              </w:rPr>
            </w:pPr>
          </w:p>
        </w:tc>
        <w:tc>
          <w:tcPr>
            <w:tcW w:w="2250" w:type="dxa"/>
            <w:tcBorders>
              <w:top w:val="nil"/>
              <w:left w:val="nil"/>
              <w:bottom w:val="nil"/>
              <w:right w:val="nil"/>
            </w:tcBorders>
            <w:shd w:val="clear" w:color="auto" w:fill="FFFFFF"/>
            <w:tcMar>
              <w:top w:w="30" w:type="dxa"/>
              <w:left w:w="30" w:type="dxa"/>
              <w:bottom w:w="30" w:type="dxa"/>
              <w:right w:w="30" w:type="dxa"/>
            </w:tcMar>
          </w:tcPr>
          <w:p w:rsidR="0070003E" w:rsidRPr="0070003E" w:rsidRDefault="0070003E" w:rsidP="002F5BCA">
            <w:pPr>
              <w:autoSpaceDE w:val="0"/>
              <w:autoSpaceDN w:val="0"/>
              <w:adjustRightInd w:val="0"/>
              <w:rPr>
                <w:lang w:val="en-US"/>
              </w:rPr>
            </w:pPr>
            <w:r w:rsidRPr="0070003E">
              <w:rPr>
                <w:lang w:val="en-US"/>
              </w:rPr>
              <w:t>Sig. (2-tailed)</w:t>
            </w:r>
          </w:p>
        </w:tc>
        <w:tc>
          <w:tcPr>
            <w:tcW w:w="2160" w:type="dxa"/>
            <w:tcBorders>
              <w:top w:val="nil"/>
              <w:left w:val="nil"/>
              <w:bottom w:val="nil"/>
              <w:right w:val="nil"/>
            </w:tcBorders>
            <w:shd w:val="clear" w:color="auto" w:fill="FFFFFF"/>
            <w:tcMar>
              <w:top w:w="30" w:type="dxa"/>
              <w:left w:w="30" w:type="dxa"/>
              <w:bottom w:w="30" w:type="dxa"/>
              <w:right w:w="30" w:type="dxa"/>
            </w:tcMar>
            <w:vAlign w:val="center"/>
          </w:tcPr>
          <w:p w:rsidR="0070003E" w:rsidRPr="0070003E" w:rsidRDefault="0070003E" w:rsidP="0070003E">
            <w:pPr>
              <w:autoSpaceDE w:val="0"/>
              <w:autoSpaceDN w:val="0"/>
              <w:adjustRightInd w:val="0"/>
              <w:jc w:val="center"/>
              <w:rPr>
                <w:lang w:val="en-US"/>
              </w:rPr>
            </w:pPr>
            <w:r w:rsidRPr="0070003E">
              <w:rPr>
                <w:lang w:val="en-US"/>
              </w:rPr>
              <w:t>.011</w:t>
            </w:r>
          </w:p>
        </w:tc>
        <w:tc>
          <w:tcPr>
            <w:tcW w:w="2580" w:type="dxa"/>
            <w:tcBorders>
              <w:top w:val="nil"/>
              <w:left w:val="nil"/>
              <w:bottom w:val="nil"/>
              <w:right w:val="nil"/>
            </w:tcBorders>
            <w:shd w:val="clear" w:color="auto" w:fill="FFFFFF"/>
            <w:tcMar>
              <w:top w:w="30" w:type="dxa"/>
              <w:left w:w="30" w:type="dxa"/>
              <w:bottom w:w="30" w:type="dxa"/>
              <w:right w:w="30" w:type="dxa"/>
            </w:tcMar>
          </w:tcPr>
          <w:p w:rsidR="0070003E" w:rsidRPr="0070003E" w:rsidRDefault="0070003E" w:rsidP="0070003E">
            <w:pPr>
              <w:autoSpaceDE w:val="0"/>
              <w:autoSpaceDN w:val="0"/>
              <w:adjustRightInd w:val="0"/>
              <w:jc w:val="center"/>
              <w:rPr>
                <w:lang w:val="en-US"/>
              </w:rPr>
            </w:pPr>
          </w:p>
        </w:tc>
      </w:tr>
      <w:tr w:rsidR="0070003E" w:rsidRPr="0070003E" w:rsidTr="0070003E">
        <w:trPr>
          <w:cantSplit/>
          <w:trHeight w:val="40"/>
        </w:trPr>
        <w:tc>
          <w:tcPr>
            <w:tcW w:w="8610" w:type="dxa"/>
            <w:gridSpan w:val="4"/>
            <w:tcBorders>
              <w:top w:val="single" w:sz="4" w:space="0" w:color="auto"/>
              <w:left w:val="nil"/>
              <w:bottom w:val="nil"/>
              <w:right w:val="nil"/>
            </w:tcBorders>
            <w:shd w:val="clear" w:color="auto" w:fill="FFFFFF"/>
            <w:tcMar>
              <w:top w:w="30" w:type="dxa"/>
              <w:left w:w="30" w:type="dxa"/>
              <w:bottom w:w="30" w:type="dxa"/>
              <w:right w:w="30" w:type="dxa"/>
            </w:tcMar>
          </w:tcPr>
          <w:p w:rsidR="0070003E" w:rsidRPr="0070003E" w:rsidRDefault="0070003E" w:rsidP="002F5BCA">
            <w:pPr>
              <w:autoSpaceDE w:val="0"/>
              <w:autoSpaceDN w:val="0"/>
              <w:adjustRightInd w:val="0"/>
              <w:rPr>
                <w:lang w:val="en-US"/>
              </w:rPr>
            </w:pPr>
            <w:r w:rsidRPr="0070003E">
              <w:rPr>
                <w:lang w:val="en-US"/>
              </w:rPr>
              <w:t>*. Correlation is significant at the 0.05 level (2-tailed).</w:t>
            </w:r>
          </w:p>
        </w:tc>
      </w:tr>
    </w:tbl>
    <w:p w:rsidR="0070003E" w:rsidRDefault="0070003E" w:rsidP="00AD6450">
      <w:pPr>
        <w:spacing w:line="360" w:lineRule="auto"/>
        <w:jc w:val="both"/>
      </w:pPr>
    </w:p>
    <w:p w:rsidR="0070003E" w:rsidRDefault="0070003E" w:rsidP="000D510B">
      <w:pPr>
        <w:tabs>
          <w:tab w:val="left" w:pos="90"/>
          <w:tab w:val="left" w:pos="1275"/>
        </w:tabs>
        <w:spacing w:line="360" w:lineRule="auto"/>
        <w:jc w:val="both"/>
        <w:rPr>
          <w:lang w:val="en-US"/>
        </w:rPr>
      </w:pPr>
      <w:r w:rsidRPr="00F42095">
        <w:t xml:space="preserve">The results of the hypothesis indicated that there was a mild relationship between </w:t>
      </w:r>
      <w:r w:rsidR="00F42095" w:rsidRPr="00F42095">
        <w:t>profitability</w:t>
      </w:r>
      <w:r w:rsidRPr="00F42095">
        <w:t xml:space="preserve"> and </w:t>
      </w:r>
      <w:r w:rsidR="00F42095" w:rsidRPr="00F42095">
        <w:t>corporate cash holding</w:t>
      </w:r>
      <w:r w:rsidRPr="00F42095">
        <w:t xml:space="preserve"> and was statistically significant (r=0.</w:t>
      </w:r>
      <w:r w:rsidR="00F42095">
        <w:t>5</w:t>
      </w:r>
      <w:r w:rsidRPr="00F42095">
        <w:t xml:space="preserve">17, p=0.011). </w:t>
      </w:r>
      <w:r w:rsidR="00F42095" w:rsidRPr="00F42095">
        <w:rPr>
          <w:lang w:val="en-US"/>
        </w:rPr>
        <w:t>The</w:t>
      </w:r>
      <w:r w:rsidRPr="00F42095">
        <w:rPr>
          <w:lang w:val="en-US"/>
        </w:rPr>
        <w:t xml:space="preserve"> study sought to determine whether </w:t>
      </w:r>
      <w:r w:rsidR="00F42095" w:rsidRPr="00F42095">
        <w:t>profitability</w:t>
      </w:r>
      <w:r w:rsidR="00F42095" w:rsidRPr="00F42095">
        <w:rPr>
          <w:lang w:val="en-US"/>
        </w:rPr>
        <w:t xml:space="preserve"> </w:t>
      </w:r>
      <w:r w:rsidRPr="00F42095">
        <w:rPr>
          <w:lang w:val="en-US"/>
        </w:rPr>
        <w:t xml:space="preserve">had any significant effects on </w:t>
      </w:r>
      <w:r w:rsidR="00F42095" w:rsidRPr="00F42095">
        <w:t>corporate cash holding</w:t>
      </w:r>
      <w:r w:rsidRPr="00F42095">
        <w:rPr>
          <w:lang w:val="en-US"/>
        </w:rPr>
        <w:t>. The correlation results indicated significance in relationship (r = 0.</w:t>
      </w:r>
      <w:r w:rsidR="00F42095">
        <w:rPr>
          <w:lang w:val="en-US"/>
        </w:rPr>
        <w:t>5</w:t>
      </w:r>
      <w:r w:rsidRPr="00F42095">
        <w:rPr>
          <w:lang w:val="en-US"/>
        </w:rPr>
        <w:t>17, p = .011) and that led to the rejection of the null hypothesis</w:t>
      </w:r>
      <w:r w:rsidR="00F42095">
        <w:rPr>
          <w:lang w:val="en-US"/>
        </w:rPr>
        <w:t>.</w:t>
      </w:r>
      <w:r w:rsidRPr="00F42095">
        <w:rPr>
          <w:lang w:val="en-US"/>
        </w:rPr>
        <w:t xml:space="preserve"> </w:t>
      </w:r>
    </w:p>
    <w:p w:rsidR="0070003E" w:rsidRPr="00AD6450" w:rsidRDefault="0070003E" w:rsidP="00AD6450">
      <w:pPr>
        <w:spacing w:line="360" w:lineRule="auto"/>
        <w:jc w:val="both"/>
      </w:pPr>
    </w:p>
    <w:p w:rsidR="00A20C28" w:rsidRPr="00FD6DB8" w:rsidRDefault="00A20103" w:rsidP="00A20103">
      <w:pPr>
        <w:tabs>
          <w:tab w:val="left" w:pos="5040"/>
        </w:tabs>
        <w:spacing w:line="360" w:lineRule="auto"/>
        <w:jc w:val="both"/>
        <w:rPr>
          <w:szCs w:val="24"/>
        </w:rPr>
      </w:pPr>
      <w:r>
        <w:rPr>
          <w:b/>
          <w:szCs w:val="24"/>
        </w:rPr>
        <w:t>6.</w:t>
      </w:r>
      <w:r w:rsidR="000A53EE">
        <w:rPr>
          <w:b/>
          <w:szCs w:val="24"/>
        </w:rPr>
        <w:t>2.2</w:t>
      </w:r>
      <w:r>
        <w:rPr>
          <w:b/>
          <w:szCs w:val="24"/>
        </w:rPr>
        <w:t xml:space="preserve"> </w:t>
      </w:r>
      <w:r w:rsidRPr="009C61EB">
        <w:rPr>
          <w:b/>
          <w:szCs w:val="24"/>
        </w:rPr>
        <w:t>Regression Analysis of the Findings</w:t>
      </w:r>
    </w:p>
    <w:p w:rsidR="00A20103" w:rsidRDefault="002062DD" w:rsidP="002062DD">
      <w:pPr>
        <w:spacing w:line="360" w:lineRule="auto"/>
        <w:jc w:val="both"/>
        <w:rPr>
          <w:bCs/>
          <w:iCs/>
          <w:szCs w:val="24"/>
        </w:rPr>
      </w:pPr>
      <w:r>
        <w:rPr>
          <w:szCs w:val="24"/>
        </w:rPr>
        <w:t>R</w:t>
      </w:r>
      <w:r w:rsidRPr="00DE7245">
        <w:rPr>
          <w:szCs w:val="24"/>
        </w:rPr>
        <w:t xml:space="preserve">egression analysis was used to </w:t>
      </w:r>
      <w:r>
        <w:rPr>
          <w:szCs w:val="24"/>
        </w:rPr>
        <w:t>produce a best fit line to predict independent variables from the dependent variable</w:t>
      </w:r>
      <w:r w:rsidRPr="00DE7245">
        <w:rPr>
          <w:szCs w:val="24"/>
        </w:rPr>
        <w:t>.</w:t>
      </w:r>
      <w:r>
        <w:rPr>
          <w:szCs w:val="24"/>
        </w:rPr>
        <w:t xml:space="preserve"> This analysis was used to determine how the independent variables influenced the depend variable, to what extent each independent variable affected the dependent variable and which of those factors are more significant. </w:t>
      </w:r>
      <w:r w:rsidRPr="00DE7245">
        <w:rPr>
          <w:szCs w:val="24"/>
        </w:rPr>
        <w:t xml:space="preserve"> </w:t>
      </w:r>
      <w:r w:rsidR="000D510B" w:rsidRPr="000A62B2">
        <w:rPr>
          <w:szCs w:val="24"/>
        </w:rPr>
        <w:t xml:space="preserve">The overall relationships between the </w:t>
      </w:r>
      <w:r w:rsidR="000D510B">
        <w:rPr>
          <w:szCs w:val="24"/>
        </w:rPr>
        <w:t xml:space="preserve">dependent and independent </w:t>
      </w:r>
      <w:r w:rsidR="000D510B" w:rsidRPr="000A62B2">
        <w:rPr>
          <w:szCs w:val="24"/>
        </w:rPr>
        <w:t xml:space="preserve">variables </w:t>
      </w:r>
      <w:r w:rsidR="000D510B">
        <w:rPr>
          <w:szCs w:val="24"/>
        </w:rPr>
        <w:t>was</w:t>
      </w:r>
      <w:r w:rsidR="000D510B" w:rsidRPr="000A62B2">
        <w:rPr>
          <w:szCs w:val="24"/>
        </w:rPr>
        <w:t xml:space="preserve"> of the most importance in a linear regression model</w:t>
      </w:r>
      <w:r w:rsidR="000D510B">
        <w:rPr>
          <w:szCs w:val="24"/>
        </w:rPr>
        <w:t xml:space="preserve">. A negative value </w:t>
      </w:r>
      <w:r w:rsidR="000D510B" w:rsidRPr="000A62B2">
        <w:rPr>
          <w:szCs w:val="24"/>
        </w:rPr>
        <w:t xml:space="preserve">simply means that the expected value on </w:t>
      </w:r>
      <w:r w:rsidR="000D510B">
        <w:rPr>
          <w:szCs w:val="24"/>
        </w:rPr>
        <w:t>the</w:t>
      </w:r>
      <w:r w:rsidR="000D510B" w:rsidRPr="000A62B2">
        <w:rPr>
          <w:szCs w:val="24"/>
        </w:rPr>
        <w:t xml:space="preserve"> dependent variable will be less than 0 when all independent/predictor variables are set to 0.</w:t>
      </w:r>
      <w:r w:rsidR="000D510B">
        <w:rPr>
          <w:szCs w:val="24"/>
        </w:rPr>
        <w:t xml:space="preserve"> </w:t>
      </w:r>
      <w:r w:rsidR="00A20103" w:rsidRPr="00D05AD8">
        <w:rPr>
          <w:bCs/>
          <w:iCs/>
          <w:szCs w:val="24"/>
        </w:rPr>
        <w:t xml:space="preserve">The researcher conducted a multiple linear regression analysis so as to find out </w:t>
      </w:r>
      <w:r w:rsidR="00A20103" w:rsidRPr="00D05AD8">
        <w:rPr>
          <w:szCs w:val="24"/>
        </w:rPr>
        <w:t xml:space="preserve">the </w:t>
      </w:r>
      <w:r w:rsidR="00A20103">
        <w:rPr>
          <w:szCs w:val="24"/>
        </w:rPr>
        <w:t>effects of profitability on</w:t>
      </w:r>
      <w:r w:rsidR="00A20103" w:rsidRPr="00D05AD8">
        <w:rPr>
          <w:szCs w:val="24"/>
        </w:rPr>
        <w:t xml:space="preserve"> the corporate cash holdings of commercial banks in Kenya</w:t>
      </w:r>
      <w:r w:rsidR="00A20103">
        <w:rPr>
          <w:szCs w:val="24"/>
        </w:rPr>
        <w:t>.</w:t>
      </w:r>
      <w:r w:rsidR="00A20103" w:rsidRPr="00D05AD8">
        <w:rPr>
          <w:bCs/>
          <w:iCs/>
          <w:szCs w:val="24"/>
        </w:rPr>
        <w:t xml:space="preserve"> </w:t>
      </w:r>
    </w:p>
    <w:p w:rsidR="0070003E" w:rsidRPr="00D05AD8" w:rsidRDefault="0070003E" w:rsidP="0070003E">
      <w:pPr>
        <w:spacing w:before="120" w:after="120" w:line="360" w:lineRule="auto"/>
        <w:rPr>
          <w:b/>
          <w:bCs/>
          <w:szCs w:val="24"/>
        </w:rPr>
      </w:pPr>
      <w:r w:rsidRPr="00D05AD8">
        <w:rPr>
          <w:b/>
          <w:bCs/>
          <w:szCs w:val="24"/>
        </w:rPr>
        <w:lastRenderedPageBreak/>
        <w:t xml:space="preserve">Table </w:t>
      </w:r>
      <w:r w:rsidR="008A2C14">
        <w:rPr>
          <w:b/>
          <w:bCs/>
          <w:szCs w:val="24"/>
        </w:rPr>
        <w:t xml:space="preserve">2: </w:t>
      </w:r>
      <w:r w:rsidRPr="00D05AD8">
        <w:rPr>
          <w:b/>
          <w:bCs/>
          <w:szCs w:val="24"/>
        </w:rPr>
        <w:t xml:space="preserve"> Model Summary</w:t>
      </w:r>
      <w:r w:rsidRPr="002C716E">
        <w:rPr>
          <w:b/>
          <w:bCs/>
          <w:color w:val="FFFFFF"/>
          <w:szCs w:val="24"/>
        </w:rPr>
        <w:t>”</w:t>
      </w:r>
    </w:p>
    <w:tbl>
      <w:tblPr>
        <w:tblW w:w="4974" w:type="pct"/>
        <w:tblBorders>
          <w:top w:val="single" w:sz="4" w:space="0" w:color="auto"/>
          <w:bottom w:val="single" w:sz="4" w:space="0" w:color="auto"/>
        </w:tblBorders>
        <w:tblLook w:val="04A0" w:firstRow="1" w:lastRow="0" w:firstColumn="1" w:lastColumn="0" w:noHBand="0" w:noVBand="1"/>
      </w:tblPr>
      <w:tblGrid>
        <w:gridCol w:w="1191"/>
        <w:gridCol w:w="976"/>
        <w:gridCol w:w="1497"/>
        <w:gridCol w:w="2353"/>
        <w:gridCol w:w="2790"/>
      </w:tblGrid>
      <w:tr w:rsidR="0070003E" w:rsidRPr="00B11B0F" w:rsidTr="002F5BCA">
        <w:trPr>
          <w:trHeight w:val="735"/>
        </w:trPr>
        <w:tc>
          <w:tcPr>
            <w:tcW w:w="676" w:type="pct"/>
            <w:tcBorders>
              <w:top w:val="single" w:sz="4" w:space="0" w:color="auto"/>
              <w:left w:val="nil"/>
              <w:bottom w:val="single" w:sz="4" w:space="0" w:color="auto"/>
              <w:right w:val="nil"/>
            </w:tcBorders>
            <w:vAlign w:val="center"/>
            <w:hideMark/>
          </w:tcPr>
          <w:p w:rsidR="0070003E" w:rsidRPr="00C23673" w:rsidRDefault="0070003E" w:rsidP="002F5BCA">
            <w:pPr>
              <w:spacing w:line="360" w:lineRule="auto"/>
              <w:rPr>
                <w:b/>
                <w:bCs/>
                <w:iCs/>
                <w:szCs w:val="24"/>
                <w:lang w:bidi="en-US"/>
              </w:rPr>
            </w:pPr>
            <w:r w:rsidRPr="00C23673">
              <w:rPr>
                <w:b/>
                <w:bCs/>
                <w:iCs/>
                <w:szCs w:val="24"/>
              </w:rPr>
              <w:t>Model</w:t>
            </w:r>
          </w:p>
        </w:tc>
        <w:tc>
          <w:tcPr>
            <w:tcW w:w="554" w:type="pct"/>
            <w:tcBorders>
              <w:top w:val="single" w:sz="4" w:space="0" w:color="auto"/>
              <w:left w:val="nil"/>
              <w:bottom w:val="single" w:sz="4" w:space="0" w:color="auto"/>
              <w:right w:val="nil"/>
            </w:tcBorders>
            <w:vAlign w:val="center"/>
            <w:hideMark/>
          </w:tcPr>
          <w:p w:rsidR="0070003E" w:rsidRPr="00C23673" w:rsidRDefault="0070003E" w:rsidP="002F5BCA">
            <w:pPr>
              <w:spacing w:line="360" w:lineRule="auto"/>
              <w:jc w:val="center"/>
              <w:rPr>
                <w:b/>
                <w:bCs/>
                <w:iCs/>
                <w:szCs w:val="24"/>
                <w:lang w:bidi="en-US"/>
              </w:rPr>
            </w:pPr>
            <w:r w:rsidRPr="00C23673">
              <w:rPr>
                <w:b/>
                <w:bCs/>
                <w:iCs/>
                <w:szCs w:val="24"/>
              </w:rPr>
              <w:t>R</w:t>
            </w:r>
          </w:p>
        </w:tc>
        <w:tc>
          <w:tcPr>
            <w:tcW w:w="850" w:type="pct"/>
            <w:tcBorders>
              <w:top w:val="single" w:sz="4" w:space="0" w:color="auto"/>
              <w:left w:val="nil"/>
              <w:bottom w:val="single" w:sz="4" w:space="0" w:color="auto"/>
              <w:right w:val="nil"/>
            </w:tcBorders>
            <w:vAlign w:val="center"/>
            <w:hideMark/>
          </w:tcPr>
          <w:p w:rsidR="0070003E" w:rsidRPr="00C23673" w:rsidRDefault="0070003E" w:rsidP="002F5BCA">
            <w:pPr>
              <w:spacing w:line="360" w:lineRule="auto"/>
              <w:jc w:val="center"/>
              <w:rPr>
                <w:b/>
                <w:bCs/>
                <w:iCs/>
                <w:szCs w:val="24"/>
                <w:lang w:bidi="en-US"/>
              </w:rPr>
            </w:pPr>
            <w:r w:rsidRPr="00C23673">
              <w:rPr>
                <w:b/>
                <w:bCs/>
                <w:iCs/>
                <w:szCs w:val="24"/>
              </w:rPr>
              <w:t>R Square</w:t>
            </w:r>
          </w:p>
        </w:tc>
        <w:tc>
          <w:tcPr>
            <w:tcW w:w="1336" w:type="pct"/>
            <w:tcBorders>
              <w:top w:val="single" w:sz="4" w:space="0" w:color="auto"/>
              <w:left w:val="nil"/>
              <w:bottom w:val="single" w:sz="4" w:space="0" w:color="auto"/>
              <w:right w:val="nil"/>
            </w:tcBorders>
            <w:vAlign w:val="center"/>
            <w:hideMark/>
          </w:tcPr>
          <w:p w:rsidR="0070003E" w:rsidRPr="00C23673" w:rsidRDefault="0070003E" w:rsidP="002F5BCA">
            <w:pPr>
              <w:spacing w:line="360" w:lineRule="auto"/>
              <w:jc w:val="center"/>
              <w:rPr>
                <w:b/>
                <w:bCs/>
                <w:iCs/>
                <w:szCs w:val="24"/>
                <w:lang w:bidi="en-US"/>
              </w:rPr>
            </w:pPr>
            <w:r w:rsidRPr="00C23673">
              <w:rPr>
                <w:b/>
                <w:bCs/>
                <w:iCs/>
                <w:szCs w:val="24"/>
              </w:rPr>
              <w:t>Adjusted R Square</w:t>
            </w:r>
          </w:p>
        </w:tc>
        <w:tc>
          <w:tcPr>
            <w:tcW w:w="1584" w:type="pct"/>
            <w:tcBorders>
              <w:top w:val="single" w:sz="4" w:space="0" w:color="auto"/>
              <w:left w:val="nil"/>
              <w:bottom w:val="single" w:sz="4" w:space="0" w:color="auto"/>
              <w:right w:val="nil"/>
            </w:tcBorders>
            <w:vAlign w:val="center"/>
            <w:hideMark/>
          </w:tcPr>
          <w:p w:rsidR="0070003E" w:rsidRPr="00C23673" w:rsidRDefault="0070003E" w:rsidP="002F5BCA">
            <w:pPr>
              <w:spacing w:line="360" w:lineRule="auto"/>
              <w:jc w:val="center"/>
              <w:rPr>
                <w:b/>
                <w:bCs/>
                <w:iCs/>
                <w:szCs w:val="24"/>
                <w:lang w:bidi="en-US"/>
              </w:rPr>
            </w:pPr>
            <w:r w:rsidRPr="00C23673">
              <w:rPr>
                <w:b/>
                <w:bCs/>
                <w:iCs/>
                <w:szCs w:val="24"/>
              </w:rPr>
              <w:t>Standard Error of the Estimate</w:t>
            </w:r>
          </w:p>
        </w:tc>
      </w:tr>
      <w:tr w:rsidR="008A2C14" w:rsidRPr="00B11B0F" w:rsidTr="00286ABC">
        <w:trPr>
          <w:trHeight w:val="300"/>
        </w:trPr>
        <w:tc>
          <w:tcPr>
            <w:tcW w:w="676" w:type="pct"/>
            <w:tcBorders>
              <w:top w:val="single" w:sz="4" w:space="0" w:color="auto"/>
              <w:left w:val="nil"/>
              <w:bottom w:val="single" w:sz="4" w:space="0" w:color="auto"/>
              <w:right w:val="nil"/>
            </w:tcBorders>
            <w:vAlign w:val="center"/>
            <w:hideMark/>
          </w:tcPr>
          <w:p w:rsidR="008A2C14" w:rsidRPr="00C23673" w:rsidRDefault="008A2C14" w:rsidP="008A2C14">
            <w:pPr>
              <w:spacing w:line="360" w:lineRule="auto"/>
              <w:rPr>
                <w:b/>
                <w:bCs/>
                <w:iCs/>
                <w:szCs w:val="24"/>
                <w:lang w:bidi="en-US"/>
              </w:rPr>
            </w:pPr>
            <w:r w:rsidRPr="00C23673">
              <w:rPr>
                <w:b/>
                <w:bCs/>
                <w:iCs/>
                <w:szCs w:val="24"/>
              </w:rPr>
              <w:t>1</w:t>
            </w:r>
          </w:p>
        </w:tc>
        <w:tc>
          <w:tcPr>
            <w:tcW w:w="554" w:type="pct"/>
            <w:tcBorders>
              <w:top w:val="single" w:sz="4" w:space="0" w:color="auto"/>
              <w:left w:val="nil"/>
              <w:bottom w:val="single" w:sz="4" w:space="0" w:color="auto"/>
              <w:right w:val="nil"/>
            </w:tcBorders>
            <w:noWrap/>
            <w:vAlign w:val="bottom"/>
            <w:hideMark/>
          </w:tcPr>
          <w:p w:rsidR="008A2C14" w:rsidRPr="002B4F35" w:rsidRDefault="008A2C14" w:rsidP="008A2C14">
            <w:pPr>
              <w:spacing w:line="360" w:lineRule="auto"/>
              <w:jc w:val="center"/>
              <w:rPr>
                <w:color w:val="000000"/>
                <w:szCs w:val="24"/>
              </w:rPr>
            </w:pPr>
            <w:r w:rsidRPr="002B4F35">
              <w:rPr>
                <w:color w:val="000000"/>
                <w:szCs w:val="24"/>
              </w:rPr>
              <w:t>1</w:t>
            </w:r>
          </w:p>
        </w:tc>
        <w:tc>
          <w:tcPr>
            <w:tcW w:w="850" w:type="pct"/>
            <w:tcBorders>
              <w:top w:val="single" w:sz="4" w:space="0" w:color="auto"/>
              <w:left w:val="nil"/>
              <w:bottom w:val="single" w:sz="4" w:space="0" w:color="auto"/>
              <w:right w:val="nil"/>
            </w:tcBorders>
            <w:noWrap/>
            <w:vAlign w:val="bottom"/>
            <w:hideMark/>
          </w:tcPr>
          <w:p w:rsidR="008A2C14" w:rsidRPr="002B4F35" w:rsidRDefault="008A2C14" w:rsidP="008A2C14">
            <w:pPr>
              <w:spacing w:line="360" w:lineRule="auto"/>
              <w:jc w:val="center"/>
              <w:rPr>
                <w:color w:val="000000"/>
                <w:szCs w:val="24"/>
                <w:vertAlign w:val="subscript"/>
              </w:rPr>
            </w:pPr>
            <w:r w:rsidRPr="002B4F35">
              <w:rPr>
                <w:color w:val="000000"/>
                <w:szCs w:val="24"/>
              </w:rPr>
              <w:t>0.</w:t>
            </w:r>
            <w:r>
              <w:rPr>
                <w:color w:val="000000"/>
                <w:szCs w:val="24"/>
              </w:rPr>
              <w:t>667</w:t>
            </w:r>
            <w:r w:rsidRPr="002B4F35">
              <w:rPr>
                <w:color w:val="000000"/>
                <w:szCs w:val="24"/>
                <w:vertAlign w:val="superscript"/>
              </w:rPr>
              <w:t>α</w:t>
            </w:r>
          </w:p>
        </w:tc>
        <w:tc>
          <w:tcPr>
            <w:tcW w:w="1336" w:type="pct"/>
            <w:tcBorders>
              <w:top w:val="single" w:sz="4" w:space="0" w:color="auto"/>
              <w:left w:val="nil"/>
              <w:bottom w:val="single" w:sz="4" w:space="0" w:color="auto"/>
              <w:right w:val="nil"/>
            </w:tcBorders>
            <w:noWrap/>
            <w:vAlign w:val="bottom"/>
            <w:hideMark/>
          </w:tcPr>
          <w:p w:rsidR="008A2C14" w:rsidRPr="002B4F35" w:rsidRDefault="008A2C14" w:rsidP="008A2C14">
            <w:pPr>
              <w:spacing w:line="360" w:lineRule="auto"/>
              <w:jc w:val="center"/>
              <w:rPr>
                <w:color w:val="000000"/>
                <w:szCs w:val="24"/>
              </w:rPr>
            </w:pPr>
            <w:r w:rsidRPr="002B4F35">
              <w:rPr>
                <w:color w:val="000000"/>
                <w:szCs w:val="24"/>
              </w:rPr>
              <w:t>0.</w:t>
            </w:r>
            <w:r>
              <w:rPr>
                <w:color w:val="000000"/>
                <w:szCs w:val="24"/>
              </w:rPr>
              <w:t>556</w:t>
            </w:r>
          </w:p>
        </w:tc>
        <w:tc>
          <w:tcPr>
            <w:tcW w:w="1584" w:type="pct"/>
            <w:tcBorders>
              <w:top w:val="single" w:sz="4" w:space="0" w:color="auto"/>
              <w:left w:val="nil"/>
              <w:bottom w:val="single" w:sz="4" w:space="0" w:color="auto"/>
              <w:right w:val="nil"/>
            </w:tcBorders>
            <w:noWrap/>
            <w:vAlign w:val="bottom"/>
            <w:hideMark/>
          </w:tcPr>
          <w:p w:rsidR="008A2C14" w:rsidRPr="002B4F35" w:rsidRDefault="008A2C14" w:rsidP="008A2C14">
            <w:pPr>
              <w:spacing w:line="360" w:lineRule="auto"/>
              <w:jc w:val="center"/>
              <w:rPr>
                <w:color w:val="000000"/>
                <w:szCs w:val="24"/>
              </w:rPr>
            </w:pPr>
            <w:r w:rsidRPr="002B4F35">
              <w:rPr>
                <w:color w:val="000000"/>
                <w:szCs w:val="24"/>
              </w:rPr>
              <w:t>0.</w:t>
            </w:r>
            <w:r>
              <w:rPr>
                <w:color w:val="000000"/>
                <w:szCs w:val="24"/>
              </w:rPr>
              <w:t>521</w:t>
            </w:r>
          </w:p>
        </w:tc>
      </w:tr>
    </w:tbl>
    <w:p w:rsidR="0070003E" w:rsidRPr="00D05AD8" w:rsidRDefault="0070003E" w:rsidP="0070003E">
      <w:pPr>
        <w:numPr>
          <w:ilvl w:val="0"/>
          <w:numId w:val="18"/>
        </w:numPr>
        <w:suppressAutoHyphens w:val="0"/>
        <w:spacing w:after="200" w:line="360" w:lineRule="auto"/>
        <w:contextualSpacing/>
        <w:jc w:val="both"/>
        <w:rPr>
          <w:szCs w:val="24"/>
        </w:rPr>
      </w:pPr>
      <w:r w:rsidRPr="002C716E">
        <w:rPr>
          <w:color w:val="FFFFFF"/>
          <w:szCs w:val="24"/>
        </w:rPr>
        <w:t>“</w:t>
      </w:r>
      <w:r w:rsidRPr="00D05AD8">
        <w:rPr>
          <w:color w:val="000000"/>
          <w:szCs w:val="24"/>
        </w:rPr>
        <w:t xml:space="preserve">Predictors: (Constant) </w:t>
      </w:r>
      <w:r>
        <w:rPr>
          <w:szCs w:val="24"/>
        </w:rPr>
        <w:t>profitability</w:t>
      </w:r>
      <w:r w:rsidRPr="002C716E">
        <w:rPr>
          <w:color w:val="FFFFFF"/>
          <w:szCs w:val="24"/>
        </w:rPr>
        <w:t>”</w:t>
      </w:r>
    </w:p>
    <w:p w:rsidR="0070003E" w:rsidRPr="00D05AD8" w:rsidRDefault="0070003E" w:rsidP="008A2C14">
      <w:pPr>
        <w:numPr>
          <w:ilvl w:val="0"/>
          <w:numId w:val="18"/>
        </w:numPr>
        <w:suppressAutoHyphens w:val="0"/>
        <w:spacing w:after="200" w:line="360" w:lineRule="auto"/>
        <w:contextualSpacing/>
        <w:jc w:val="both"/>
        <w:rPr>
          <w:szCs w:val="24"/>
        </w:rPr>
      </w:pPr>
      <w:r w:rsidRPr="002C716E">
        <w:rPr>
          <w:color w:val="FFFFFF"/>
          <w:szCs w:val="24"/>
        </w:rPr>
        <w:t>“</w:t>
      </w:r>
      <w:r>
        <w:rPr>
          <w:szCs w:val="24"/>
        </w:rPr>
        <w:t>D</w:t>
      </w:r>
      <w:r w:rsidRPr="00D05AD8">
        <w:rPr>
          <w:szCs w:val="24"/>
        </w:rPr>
        <w:t>ependent variable: Corporate cash holdings</w:t>
      </w:r>
      <w:r w:rsidRPr="002C716E">
        <w:rPr>
          <w:color w:val="FFFFFF"/>
          <w:szCs w:val="24"/>
        </w:rPr>
        <w:t>”</w:t>
      </w:r>
    </w:p>
    <w:p w:rsidR="00964861" w:rsidRDefault="00964861" w:rsidP="0070003E">
      <w:pPr>
        <w:spacing w:line="360" w:lineRule="auto"/>
        <w:jc w:val="both"/>
      </w:pPr>
    </w:p>
    <w:p w:rsidR="0070003E" w:rsidRDefault="0070003E" w:rsidP="0070003E">
      <w:pPr>
        <w:spacing w:line="360" w:lineRule="auto"/>
        <w:jc w:val="both"/>
      </w:pPr>
      <w:r w:rsidRPr="00AD6450">
        <w:t xml:space="preserve">From the study findings, </w:t>
      </w:r>
      <w:r>
        <w:t xml:space="preserve">profitability </w:t>
      </w:r>
      <w:r w:rsidRPr="00AD6450">
        <w:t xml:space="preserve">(that is, </w:t>
      </w:r>
      <w:r>
        <w:t>ROA, ROE and NIM</w:t>
      </w:r>
      <w:r w:rsidRPr="00AD6450">
        <w:t xml:space="preserve">), explain </w:t>
      </w:r>
      <w:r w:rsidR="008A2C14">
        <w:t>55</w:t>
      </w:r>
      <w:r w:rsidRPr="00AD6450">
        <w:t>% of variance in banks profitability as represented by the R2. This means that other factors not studied in this research contributed</w:t>
      </w:r>
      <w:r w:rsidR="008A2C14">
        <w:t xml:space="preserve"> 45</w:t>
      </w:r>
      <w:r w:rsidRPr="00AD6450">
        <w:t>% of variance in the dependent variable.</w:t>
      </w:r>
    </w:p>
    <w:p w:rsidR="0070003E" w:rsidRDefault="0070003E" w:rsidP="0070003E">
      <w:pPr>
        <w:spacing w:line="360" w:lineRule="auto"/>
        <w:jc w:val="both"/>
      </w:pPr>
    </w:p>
    <w:p w:rsidR="0070003E" w:rsidRPr="00D7229F" w:rsidRDefault="008A2C14" w:rsidP="0070003E">
      <w:pPr>
        <w:spacing w:line="360" w:lineRule="auto"/>
        <w:jc w:val="both"/>
        <w:rPr>
          <w:b/>
        </w:rPr>
      </w:pPr>
      <w:r w:rsidRPr="00D7229F">
        <w:rPr>
          <w:b/>
        </w:rPr>
        <w:t xml:space="preserve">6.2.3 </w:t>
      </w:r>
      <w:r w:rsidR="00D7229F" w:rsidRPr="00D7229F">
        <w:rPr>
          <w:b/>
        </w:rPr>
        <w:t>ANOVA</w:t>
      </w:r>
    </w:p>
    <w:p w:rsidR="008A2C14" w:rsidRDefault="0070003E" w:rsidP="0070003E">
      <w:pPr>
        <w:spacing w:line="360" w:lineRule="auto"/>
        <w:jc w:val="both"/>
      </w:pPr>
      <w:r>
        <w:t xml:space="preserve">Analysis of Variance (ANOVA) consists of calculations that provide information about levels of variability within a regression model and form a basis for tests of significance. </w:t>
      </w:r>
      <w:r w:rsidR="008A2C14" w:rsidRPr="00A1079B">
        <w:rPr>
          <w:color w:val="000000"/>
          <w:szCs w:val="24"/>
        </w:rPr>
        <w:t>ANOVA is carried out in order to provide a more in-depth analysis of the data</w:t>
      </w:r>
      <w:r w:rsidR="008A2C14">
        <w:rPr>
          <w:color w:val="000000"/>
          <w:szCs w:val="24"/>
        </w:rPr>
        <w:t>.</w:t>
      </w:r>
      <w:r w:rsidR="008A2C14">
        <w:t xml:space="preserve"> </w:t>
      </w:r>
    </w:p>
    <w:p w:rsidR="008A2C14" w:rsidRDefault="008A2C14" w:rsidP="0070003E">
      <w:pPr>
        <w:spacing w:line="360" w:lineRule="auto"/>
        <w:jc w:val="both"/>
      </w:pPr>
    </w:p>
    <w:p w:rsidR="008A2C14" w:rsidRPr="008A2C14" w:rsidRDefault="008A2C14" w:rsidP="0070003E">
      <w:pPr>
        <w:spacing w:line="360" w:lineRule="auto"/>
        <w:jc w:val="both"/>
        <w:rPr>
          <w:b/>
        </w:rPr>
      </w:pPr>
      <w:r w:rsidRPr="008A2C14">
        <w:rPr>
          <w:b/>
        </w:rPr>
        <w:t>Table 3: ANOVA</w:t>
      </w:r>
    </w:p>
    <w:tbl>
      <w:tblPr>
        <w:tblW w:w="891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
        <w:gridCol w:w="1690"/>
        <w:gridCol w:w="2041"/>
        <w:gridCol w:w="1112"/>
        <w:gridCol w:w="1541"/>
        <w:gridCol w:w="1114"/>
        <w:gridCol w:w="1332"/>
      </w:tblGrid>
      <w:tr w:rsidR="008A2C14" w:rsidRPr="00C83E72" w:rsidTr="00F1361A">
        <w:trPr>
          <w:cantSplit/>
          <w:trHeight w:val="410"/>
          <w:tblHeader/>
        </w:trPr>
        <w:tc>
          <w:tcPr>
            <w:tcW w:w="1770"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8A2C14" w:rsidRPr="008A2C14" w:rsidRDefault="008A2C14" w:rsidP="002F5BCA">
            <w:pPr>
              <w:autoSpaceDE w:val="0"/>
              <w:autoSpaceDN w:val="0"/>
              <w:adjustRightInd w:val="0"/>
              <w:rPr>
                <w:b/>
                <w:lang w:val="en-US"/>
              </w:rPr>
            </w:pPr>
            <w:r w:rsidRPr="008A2C14">
              <w:rPr>
                <w:b/>
                <w:lang w:val="en-US"/>
              </w:rPr>
              <w:t>Model</w:t>
            </w:r>
          </w:p>
        </w:tc>
        <w:tc>
          <w:tcPr>
            <w:tcW w:w="204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8A2C14" w:rsidRPr="008A2C14" w:rsidRDefault="008A2C14" w:rsidP="008A2C14">
            <w:pPr>
              <w:autoSpaceDE w:val="0"/>
              <w:autoSpaceDN w:val="0"/>
              <w:adjustRightInd w:val="0"/>
              <w:jc w:val="center"/>
              <w:rPr>
                <w:b/>
                <w:lang w:val="en-US"/>
              </w:rPr>
            </w:pPr>
            <w:r w:rsidRPr="008A2C14">
              <w:rPr>
                <w:b/>
                <w:lang w:val="en-US"/>
              </w:rPr>
              <w:t>Sum of Squares</w:t>
            </w:r>
          </w:p>
        </w:tc>
        <w:tc>
          <w:tcPr>
            <w:tcW w:w="111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8A2C14" w:rsidRPr="008A2C14" w:rsidRDefault="008A2C14" w:rsidP="008A2C14">
            <w:pPr>
              <w:autoSpaceDE w:val="0"/>
              <w:autoSpaceDN w:val="0"/>
              <w:adjustRightInd w:val="0"/>
              <w:jc w:val="center"/>
              <w:rPr>
                <w:b/>
                <w:lang w:val="en-US"/>
              </w:rPr>
            </w:pPr>
            <w:r w:rsidRPr="008A2C14">
              <w:rPr>
                <w:b/>
                <w:lang w:val="en-US"/>
              </w:rPr>
              <w:t>df</w:t>
            </w:r>
          </w:p>
        </w:tc>
        <w:tc>
          <w:tcPr>
            <w:tcW w:w="154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8A2C14" w:rsidRPr="008A2C14" w:rsidRDefault="008A2C14" w:rsidP="008A2C14">
            <w:pPr>
              <w:autoSpaceDE w:val="0"/>
              <w:autoSpaceDN w:val="0"/>
              <w:adjustRightInd w:val="0"/>
              <w:jc w:val="center"/>
              <w:rPr>
                <w:b/>
                <w:lang w:val="en-US"/>
              </w:rPr>
            </w:pPr>
            <w:r w:rsidRPr="008A2C14">
              <w:rPr>
                <w:b/>
                <w:lang w:val="en-US"/>
              </w:rPr>
              <w:t>Mean Square</w:t>
            </w:r>
          </w:p>
        </w:tc>
        <w:tc>
          <w:tcPr>
            <w:tcW w:w="1114"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8A2C14" w:rsidRPr="008A2C14" w:rsidRDefault="008A2C14" w:rsidP="008A2C14">
            <w:pPr>
              <w:autoSpaceDE w:val="0"/>
              <w:autoSpaceDN w:val="0"/>
              <w:adjustRightInd w:val="0"/>
              <w:jc w:val="center"/>
              <w:rPr>
                <w:b/>
                <w:lang w:val="en-US"/>
              </w:rPr>
            </w:pPr>
            <w:r w:rsidRPr="008A2C14">
              <w:rPr>
                <w:b/>
                <w:lang w:val="en-US"/>
              </w:rPr>
              <w:t>F</w:t>
            </w:r>
          </w:p>
        </w:tc>
        <w:tc>
          <w:tcPr>
            <w:tcW w:w="1332"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8A2C14" w:rsidRPr="008A2C14" w:rsidRDefault="008A2C14" w:rsidP="008A2C14">
            <w:pPr>
              <w:autoSpaceDE w:val="0"/>
              <w:autoSpaceDN w:val="0"/>
              <w:adjustRightInd w:val="0"/>
              <w:jc w:val="center"/>
              <w:rPr>
                <w:b/>
                <w:lang w:val="en-US"/>
              </w:rPr>
            </w:pPr>
            <w:r w:rsidRPr="008A2C14">
              <w:rPr>
                <w:b/>
                <w:lang w:val="en-US"/>
              </w:rPr>
              <w:t>Sig.</w:t>
            </w:r>
          </w:p>
        </w:tc>
      </w:tr>
      <w:tr w:rsidR="008A2C14" w:rsidRPr="00C83E72" w:rsidTr="00F1361A">
        <w:trPr>
          <w:cantSplit/>
          <w:trHeight w:val="563"/>
          <w:tblHeader/>
        </w:trPr>
        <w:tc>
          <w:tcPr>
            <w:tcW w:w="80" w:type="dxa"/>
            <w:vMerge w:val="restart"/>
            <w:tcBorders>
              <w:top w:val="single" w:sz="4" w:space="0" w:color="auto"/>
              <w:left w:val="nil"/>
              <w:bottom w:val="nil"/>
              <w:right w:val="nil"/>
            </w:tcBorders>
            <w:shd w:val="clear" w:color="auto" w:fill="FFFFFF"/>
            <w:tcMar>
              <w:top w:w="30" w:type="dxa"/>
              <w:left w:w="30" w:type="dxa"/>
              <w:bottom w:w="30" w:type="dxa"/>
              <w:right w:w="30" w:type="dxa"/>
            </w:tcMar>
          </w:tcPr>
          <w:p w:rsidR="008A2C14" w:rsidRPr="008A2C14" w:rsidRDefault="008A2C14" w:rsidP="002F5BCA">
            <w:pPr>
              <w:autoSpaceDE w:val="0"/>
              <w:autoSpaceDN w:val="0"/>
              <w:adjustRightInd w:val="0"/>
              <w:rPr>
                <w:rFonts w:ascii="Arial" w:hAnsi="Arial" w:cs="Arial"/>
                <w:sz w:val="18"/>
                <w:szCs w:val="18"/>
                <w:lang w:val="en-US"/>
              </w:rPr>
            </w:pPr>
            <w:r w:rsidRPr="008A2C14">
              <w:rPr>
                <w:rFonts w:ascii="Arial" w:hAnsi="Arial" w:cs="Arial"/>
                <w:sz w:val="18"/>
                <w:szCs w:val="18"/>
                <w:lang w:val="en-US"/>
              </w:rPr>
              <w:t>1</w:t>
            </w:r>
          </w:p>
        </w:tc>
        <w:tc>
          <w:tcPr>
            <w:tcW w:w="1690" w:type="dxa"/>
            <w:tcBorders>
              <w:top w:val="single" w:sz="4" w:space="0" w:color="auto"/>
              <w:left w:val="nil"/>
              <w:bottom w:val="nil"/>
              <w:right w:val="nil"/>
            </w:tcBorders>
            <w:shd w:val="clear" w:color="auto" w:fill="FFFFFF"/>
            <w:tcMar>
              <w:top w:w="30" w:type="dxa"/>
              <w:left w:w="30" w:type="dxa"/>
              <w:bottom w:w="30" w:type="dxa"/>
              <w:right w:w="30" w:type="dxa"/>
            </w:tcMar>
          </w:tcPr>
          <w:p w:rsidR="008A2C14" w:rsidRPr="008A2C14" w:rsidRDefault="008A2C14" w:rsidP="002F5BCA">
            <w:pPr>
              <w:autoSpaceDE w:val="0"/>
              <w:autoSpaceDN w:val="0"/>
              <w:adjustRightInd w:val="0"/>
              <w:rPr>
                <w:b/>
                <w:lang w:val="en-US"/>
              </w:rPr>
            </w:pPr>
            <w:r w:rsidRPr="008A2C14">
              <w:rPr>
                <w:b/>
                <w:lang w:val="en-US"/>
              </w:rPr>
              <w:t>Between groups</w:t>
            </w:r>
          </w:p>
        </w:tc>
        <w:tc>
          <w:tcPr>
            <w:tcW w:w="2041"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8A2C14" w:rsidRPr="008A2C14" w:rsidRDefault="008A2C14" w:rsidP="002F5BCA">
            <w:pPr>
              <w:autoSpaceDE w:val="0"/>
              <w:autoSpaceDN w:val="0"/>
              <w:adjustRightInd w:val="0"/>
              <w:jc w:val="center"/>
              <w:rPr>
                <w:lang w:val="en-US"/>
              </w:rPr>
            </w:pPr>
            <w:r w:rsidRPr="008A2C14">
              <w:rPr>
                <w:lang w:val="en-US"/>
              </w:rPr>
              <w:t>150.708</w:t>
            </w:r>
          </w:p>
        </w:tc>
        <w:tc>
          <w:tcPr>
            <w:tcW w:w="1112"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8A2C14" w:rsidRPr="008A2C14" w:rsidRDefault="000D510B" w:rsidP="002F5BCA">
            <w:pPr>
              <w:autoSpaceDE w:val="0"/>
              <w:autoSpaceDN w:val="0"/>
              <w:adjustRightInd w:val="0"/>
              <w:jc w:val="center"/>
              <w:rPr>
                <w:lang w:val="en-US"/>
              </w:rPr>
            </w:pPr>
            <w:r>
              <w:rPr>
                <w:lang w:val="en-US"/>
              </w:rPr>
              <w:t>1</w:t>
            </w:r>
          </w:p>
        </w:tc>
        <w:tc>
          <w:tcPr>
            <w:tcW w:w="1541"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8A2C14" w:rsidRPr="008A2C14" w:rsidRDefault="008A2C14" w:rsidP="002F5BCA">
            <w:pPr>
              <w:autoSpaceDE w:val="0"/>
              <w:autoSpaceDN w:val="0"/>
              <w:adjustRightInd w:val="0"/>
              <w:jc w:val="center"/>
              <w:rPr>
                <w:lang w:val="en-US"/>
              </w:rPr>
            </w:pPr>
            <w:r w:rsidRPr="008A2C14">
              <w:rPr>
                <w:lang w:val="en-US"/>
              </w:rPr>
              <w:t>37.677</w:t>
            </w:r>
          </w:p>
        </w:tc>
        <w:tc>
          <w:tcPr>
            <w:tcW w:w="1114"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8A2C14" w:rsidRPr="008A2C14" w:rsidRDefault="008A2C14" w:rsidP="002F5BCA">
            <w:pPr>
              <w:autoSpaceDE w:val="0"/>
              <w:autoSpaceDN w:val="0"/>
              <w:adjustRightInd w:val="0"/>
              <w:jc w:val="center"/>
              <w:rPr>
                <w:lang w:val="en-US"/>
              </w:rPr>
            </w:pPr>
            <w:r w:rsidRPr="008A2C14">
              <w:rPr>
                <w:lang w:val="en-US"/>
              </w:rPr>
              <w:t>124.794</w:t>
            </w:r>
          </w:p>
        </w:tc>
        <w:tc>
          <w:tcPr>
            <w:tcW w:w="1332"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8A2C14" w:rsidRPr="008A2C14" w:rsidRDefault="008A2C14" w:rsidP="002F5BCA">
            <w:pPr>
              <w:autoSpaceDE w:val="0"/>
              <w:autoSpaceDN w:val="0"/>
              <w:adjustRightInd w:val="0"/>
              <w:jc w:val="center"/>
              <w:rPr>
                <w:lang w:val="en-US"/>
              </w:rPr>
            </w:pPr>
            <w:r w:rsidRPr="008A2C14">
              <w:rPr>
                <w:lang w:val="en-US"/>
              </w:rPr>
              <w:t>.000</w:t>
            </w:r>
            <w:r w:rsidRPr="008A2C14">
              <w:rPr>
                <w:vertAlign w:val="superscript"/>
                <w:lang w:val="en-US"/>
              </w:rPr>
              <w:t>a</w:t>
            </w:r>
          </w:p>
        </w:tc>
      </w:tr>
      <w:tr w:rsidR="008A2C14" w:rsidRPr="00C83E72" w:rsidTr="000D510B">
        <w:trPr>
          <w:cantSplit/>
          <w:trHeight w:val="154"/>
          <w:tblHeader/>
        </w:trPr>
        <w:tc>
          <w:tcPr>
            <w:tcW w:w="80" w:type="dxa"/>
            <w:vMerge/>
            <w:tcBorders>
              <w:top w:val="nil"/>
              <w:left w:val="nil"/>
              <w:bottom w:val="nil"/>
              <w:right w:val="nil"/>
            </w:tcBorders>
            <w:shd w:val="clear" w:color="auto" w:fill="FFFFFF"/>
            <w:tcMar>
              <w:top w:w="30" w:type="dxa"/>
              <w:left w:w="30" w:type="dxa"/>
              <w:bottom w:w="30" w:type="dxa"/>
              <w:right w:w="30" w:type="dxa"/>
            </w:tcMar>
          </w:tcPr>
          <w:p w:rsidR="008A2C14" w:rsidRPr="008A2C14" w:rsidRDefault="008A2C14" w:rsidP="002F5BCA">
            <w:pPr>
              <w:autoSpaceDE w:val="0"/>
              <w:autoSpaceDN w:val="0"/>
              <w:adjustRightInd w:val="0"/>
              <w:rPr>
                <w:rFonts w:ascii="Arial" w:hAnsi="Arial" w:cs="Arial"/>
                <w:sz w:val="18"/>
                <w:szCs w:val="18"/>
                <w:lang w:val="en-US"/>
              </w:rPr>
            </w:pPr>
          </w:p>
        </w:tc>
        <w:tc>
          <w:tcPr>
            <w:tcW w:w="1690" w:type="dxa"/>
            <w:tcBorders>
              <w:top w:val="nil"/>
              <w:left w:val="nil"/>
              <w:bottom w:val="nil"/>
              <w:right w:val="nil"/>
            </w:tcBorders>
            <w:shd w:val="clear" w:color="auto" w:fill="FFFFFF"/>
            <w:tcMar>
              <w:top w:w="30" w:type="dxa"/>
              <w:left w:w="30" w:type="dxa"/>
              <w:bottom w:w="30" w:type="dxa"/>
              <w:right w:w="30" w:type="dxa"/>
            </w:tcMar>
          </w:tcPr>
          <w:p w:rsidR="008A2C14" w:rsidRPr="008A2C14" w:rsidRDefault="008A2C14" w:rsidP="002F5BCA">
            <w:pPr>
              <w:autoSpaceDE w:val="0"/>
              <w:autoSpaceDN w:val="0"/>
              <w:adjustRightInd w:val="0"/>
              <w:rPr>
                <w:b/>
                <w:lang w:val="en-US"/>
              </w:rPr>
            </w:pPr>
            <w:r w:rsidRPr="008A2C14">
              <w:rPr>
                <w:b/>
                <w:lang w:val="en-US"/>
              </w:rPr>
              <w:t>Within groups</w:t>
            </w:r>
          </w:p>
        </w:tc>
        <w:tc>
          <w:tcPr>
            <w:tcW w:w="2041" w:type="dxa"/>
            <w:tcBorders>
              <w:top w:val="nil"/>
              <w:left w:val="nil"/>
              <w:bottom w:val="nil"/>
              <w:right w:val="nil"/>
            </w:tcBorders>
            <w:shd w:val="clear" w:color="auto" w:fill="FFFFFF"/>
            <w:tcMar>
              <w:top w:w="30" w:type="dxa"/>
              <w:left w:w="30" w:type="dxa"/>
              <w:bottom w:w="30" w:type="dxa"/>
              <w:right w:w="30" w:type="dxa"/>
            </w:tcMar>
            <w:vAlign w:val="center"/>
          </w:tcPr>
          <w:p w:rsidR="008A2C14" w:rsidRPr="008A2C14" w:rsidRDefault="008A2C14" w:rsidP="002F5BCA">
            <w:pPr>
              <w:autoSpaceDE w:val="0"/>
              <w:autoSpaceDN w:val="0"/>
              <w:adjustRightInd w:val="0"/>
              <w:jc w:val="center"/>
              <w:rPr>
                <w:lang w:val="en-US"/>
              </w:rPr>
            </w:pPr>
            <w:r w:rsidRPr="008A2C14">
              <w:rPr>
                <w:lang w:val="en-US"/>
              </w:rPr>
              <w:t>140.390</w:t>
            </w:r>
          </w:p>
        </w:tc>
        <w:tc>
          <w:tcPr>
            <w:tcW w:w="1112" w:type="dxa"/>
            <w:tcBorders>
              <w:top w:val="nil"/>
              <w:left w:val="nil"/>
              <w:bottom w:val="nil"/>
              <w:right w:val="nil"/>
            </w:tcBorders>
            <w:shd w:val="clear" w:color="auto" w:fill="FFFFFF"/>
            <w:tcMar>
              <w:top w:w="30" w:type="dxa"/>
              <w:left w:w="30" w:type="dxa"/>
              <w:bottom w:w="30" w:type="dxa"/>
              <w:right w:w="30" w:type="dxa"/>
            </w:tcMar>
            <w:vAlign w:val="center"/>
          </w:tcPr>
          <w:p w:rsidR="008A2C14" w:rsidRPr="008A2C14" w:rsidRDefault="000D510B" w:rsidP="002F5BCA">
            <w:pPr>
              <w:autoSpaceDE w:val="0"/>
              <w:autoSpaceDN w:val="0"/>
              <w:adjustRightInd w:val="0"/>
              <w:jc w:val="center"/>
              <w:rPr>
                <w:lang w:val="en-US"/>
              </w:rPr>
            </w:pPr>
            <w:r>
              <w:rPr>
                <w:lang w:val="en-US"/>
              </w:rPr>
              <w:t>38</w:t>
            </w:r>
          </w:p>
        </w:tc>
        <w:tc>
          <w:tcPr>
            <w:tcW w:w="1541" w:type="dxa"/>
            <w:tcBorders>
              <w:top w:val="nil"/>
              <w:left w:val="nil"/>
              <w:bottom w:val="nil"/>
              <w:right w:val="nil"/>
            </w:tcBorders>
            <w:shd w:val="clear" w:color="auto" w:fill="FFFFFF"/>
            <w:tcMar>
              <w:top w:w="30" w:type="dxa"/>
              <w:left w:w="30" w:type="dxa"/>
              <w:bottom w:w="30" w:type="dxa"/>
              <w:right w:w="30" w:type="dxa"/>
            </w:tcMar>
            <w:vAlign w:val="center"/>
          </w:tcPr>
          <w:p w:rsidR="008A2C14" w:rsidRPr="008A2C14" w:rsidRDefault="008A2C14" w:rsidP="002F5BCA">
            <w:pPr>
              <w:autoSpaceDE w:val="0"/>
              <w:autoSpaceDN w:val="0"/>
              <w:adjustRightInd w:val="0"/>
              <w:jc w:val="center"/>
              <w:rPr>
                <w:lang w:val="en-US"/>
              </w:rPr>
            </w:pPr>
            <w:r w:rsidRPr="008A2C14">
              <w:rPr>
                <w:lang w:val="en-US"/>
              </w:rPr>
              <w:t>.302</w:t>
            </w:r>
          </w:p>
        </w:tc>
        <w:tc>
          <w:tcPr>
            <w:tcW w:w="1114" w:type="dxa"/>
            <w:tcBorders>
              <w:top w:val="nil"/>
              <w:left w:val="nil"/>
              <w:bottom w:val="nil"/>
              <w:right w:val="nil"/>
            </w:tcBorders>
            <w:shd w:val="clear" w:color="auto" w:fill="FFFFFF"/>
            <w:tcMar>
              <w:top w:w="30" w:type="dxa"/>
              <w:left w:w="30" w:type="dxa"/>
              <w:bottom w:w="30" w:type="dxa"/>
              <w:right w:w="30" w:type="dxa"/>
            </w:tcMar>
          </w:tcPr>
          <w:p w:rsidR="008A2C14" w:rsidRPr="008A2C14" w:rsidRDefault="008A2C14" w:rsidP="002F5BCA">
            <w:pPr>
              <w:autoSpaceDE w:val="0"/>
              <w:autoSpaceDN w:val="0"/>
              <w:adjustRightInd w:val="0"/>
              <w:jc w:val="center"/>
              <w:rPr>
                <w:lang w:val="en-US"/>
              </w:rPr>
            </w:pPr>
          </w:p>
        </w:tc>
        <w:tc>
          <w:tcPr>
            <w:tcW w:w="1332" w:type="dxa"/>
            <w:tcBorders>
              <w:top w:val="nil"/>
              <w:left w:val="nil"/>
              <w:bottom w:val="nil"/>
              <w:right w:val="nil"/>
            </w:tcBorders>
            <w:shd w:val="clear" w:color="auto" w:fill="FFFFFF"/>
            <w:tcMar>
              <w:top w:w="30" w:type="dxa"/>
              <w:left w:w="30" w:type="dxa"/>
              <w:bottom w:w="30" w:type="dxa"/>
              <w:right w:w="30" w:type="dxa"/>
            </w:tcMar>
          </w:tcPr>
          <w:p w:rsidR="008A2C14" w:rsidRPr="008A2C14" w:rsidRDefault="008A2C14" w:rsidP="002F5BCA">
            <w:pPr>
              <w:autoSpaceDE w:val="0"/>
              <w:autoSpaceDN w:val="0"/>
              <w:adjustRightInd w:val="0"/>
              <w:jc w:val="center"/>
              <w:rPr>
                <w:lang w:val="en-US"/>
              </w:rPr>
            </w:pPr>
          </w:p>
        </w:tc>
      </w:tr>
      <w:tr w:rsidR="008A2C14" w:rsidRPr="00C83E72" w:rsidTr="000D510B">
        <w:trPr>
          <w:cantSplit/>
          <w:trHeight w:val="154"/>
          <w:tblHeader/>
        </w:trPr>
        <w:tc>
          <w:tcPr>
            <w:tcW w:w="80" w:type="dxa"/>
            <w:vMerge/>
            <w:tcBorders>
              <w:top w:val="nil"/>
              <w:left w:val="nil"/>
              <w:bottom w:val="single" w:sz="4" w:space="0" w:color="auto"/>
              <w:right w:val="nil"/>
            </w:tcBorders>
            <w:shd w:val="clear" w:color="auto" w:fill="FFFFFF"/>
            <w:tcMar>
              <w:top w:w="30" w:type="dxa"/>
              <w:left w:w="30" w:type="dxa"/>
              <w:bottom w:w="30" w:type="dxa"/>
              <w:right w:w="30" w:type="dxa"/>
            </w:tcMar>
          </w:tcPr>
          <w:p w:rsidR="008A2C14" w:rsidRPr="008A2C14" w:rsidRDefault="008A2C14" w:rsidP="002F5BCA">
            <w:pPr>
              <w:autoSpaceDE w:val="0"/>
              <w:autoSpaceDN w:val="0"/>
              <w:adjustRightInd w:val="0"/>
              <w:rPr>
                <w:lang w:val="en-US"/>
              </w:rPr>
            </w:pPr>
          </w:p>
        </w:tc>
        <w:tc>
          <w:tcPr>
            <w:tcW w:w="1690" w:type="dxa"/>
            <w:tcBorders>
              <w:top w:val="nil"/>
              <w:left w:val="nil"/>
              <w:bottom w:val="single" w:sz="4" w:space="0" w:color="auto"/>
              <w:right w:val="nil"/>
            </w:tcBorders>
            <w:shd w:val="clear" w:color="auto" w:fill="FFFFFF"/>
            <w:tcMar>
              <w:top w:w="30" w:type="dxa"/>
              <w:left w:w="30" w:type="dxa"/>
              <w:bottom w:w="30" w:type="dxa"/>
              <w:right w:w="30" w:type="dxa"/>
            </w:tcMar>
          </w:tcPr>
          <w:p w:rsidR="008A2C14" w:rsidRPr="008A2C14" w:rsidRDefault="008A2C14" w:rsidP="002F5BCA">
            <w:pPr>
              <w:autoSpaceDE w:val="0"/>
              <w:autoSpaceDN w:val="0"/>
              <w:adjustRightInd w:val="0"/>
              <w:rPr>
                <w:b/>
                <w:lang w:val="en-US"/>
              </w:rPr>
            </w:pPr>
            <w:r w:rsidRPr="008A2C14">
              <w:rPr>
                <w:b/>
                <w:lang w:val="en-US"/>
              </w:rPr>
              <w:t>Total</w:t>
            </w:r>
          </w:p>
        </w:tc>
        <w:tc>
          <w:tcPr>
            <w:tcW w:w="2041"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8A2C14" w:rsidRPr="008A2C14" w:rsidRDefault="008A2C14" w:rsidP="002F5BCA">
            <w:pPr>
              <w:autoSpaceDE w:val="0"/>
              <w:autoSpaceDN w:val="0"/>
              <w:adjustRightInd w:val="0"/>
              <w:jc w:val="center"/>
              <w:rPr>
                <w:lang w:val="en-US"/>
              </w:rPr>
            </w:pPr>
            <w:r w:rsidRPr="008A2C14">
              <w:rPr>
                <w:lang w:val="en-US"/>
              </w:rPr>
              <w:t>291.098</w:t>
            </w:r>
          </w:p>
        </w:tc>
        <w:tc>
          <w:tcPr>
            <w:tcW w:w="1112"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8A2C14" w:rsidRPr="008A2C14" w:rsidRDefault="000D510B" w:rsidP="000D510B">
            <w:pPr>
              <w:autoSpaceDE w:val="0"/>
              <w:autoSpaceDN w:val="0"/>
              <w:adjustRightInd w:val="0"/>
              <w:jc w:val="center"/>
              <w:rPr>
                <w:lang w:val="en-US"/>
              </w:rPr>
            </w:pPr>
            <w:r>
              <w:rPr>
                <w:lang w:val="en-US"/>
              </w:rPr>
              <w:t>39</w:t>
            </w:r>
          </w:p>
        </w:tc>
        <w:tc>
          <w:tcPr>
            <w:tcW w:w="1541" w:type="dxa"/>
            <w:tcBorders>
              <w:top w:val="nil"/>
              <w:left w:val="nil"/>
              <w:bottom w:val="single" w:sz="4" w:space="0" w:color="auto"/>
              <w:right w:val="nil"/>
            </w:tcBorders>
            <w:shd w:val="clear" w:color="auto" w:fill="FFFFFF"/>
            <w:tcMar>
              <w:top w:w="30" w:type="dxa"/>
              <w:left w:w="30" w:type="dxa"/>
              <w:bottom w:w="30" w:type="dxa"/>
              <w:right w:w="30" w:type="dxa"/>
            </w:tcMar>
          </w:tcPr>
          <w:p w:rsidR="008A2C14" w:rsidRPr="008A2C14" w:rsidRDefault="008A2C14" w:rsidP="002F5BCA">
            <w:pPr>
              <w:autoSpaceDE w:val="0"/>
              <w:autoSpaceDN w:val="0"/>
              <w:adjustRightInd w:val="0"/>
              <w:jc w:val="center"/>
              <w:rPr>
                <w:lang w:val="en-US"/>
              </w:rPr>
            </w:pPr>
          </w:p>
        </w:tc>
        <w:tc>
          <w:tcPr>
            <w:tcW w:w="1114" w:type="dxa"/>
            <w:tcBorders>
              <w:top w:val="nil"/>
              <w:left w:val="nil"/>
              <w:bottom w:val="single" w:sz="4" w:space="0" w:color="auto"/>
              <w:right w:val="nil"/>
            </w:tcBorders>
            <w:shd w:val="clear" w:color="auto" w:fill="FFFFFF"/>
            <w:tcMar>
              <w:top w:w="30" w:type="dxa"/>
              <w:left w:w="30" w:type="dxa"/>
              <w:bottom w:w="30" w:type="dxa"/>
              <w:right w:w="30" w:type="dxa"/>
            </w:tcMar>
          </w:tcPr>
          <w:p w:rsidR="008A2C14" w:rsidRPr="008A2C14" w:rsidRDefault="008A2C14" w:rsidP="002F5BCA">
            <w:pPr>
              <w:autoSpaceDE w:val="0"/>
              <w:autoSpaceDN w:val="0"/>
              <w:adjustRightInd w:val="0"/>
              <w:jc w:val="center"/>
              <w:rPr>
                <w:lang w:val="en-US"/>
              </w:rPr>
            </w:pPr>
          </w:p>
        </w:tc>
        <w:tc>
          <w:tcPr>
            <w:tcW w:w="1332" w:type="dxa"/>
            <w:tcBorders>
              <w:top w:val="nil"/>
              <w:left w:val="nil"/>
              <w:bottom w:val="single" w:sz="4" w:space="0" w:color="auto"/>
              <w:right w:val="nil"/>
            </w:tcBorders>
            <w:shd w:val="clear" w:color="auto" w:fill="FFFFFF"/>
            <w:tcMar>
              <w:top w:w="30" w:type="dxa"/>
              <w:left w:w="30" w:type="dxa"/>
              <w:bottom w:w="30" w:type="dxa"/>
              <w:right w:w="30" w:type="dxa"/>
            </w:tcMar>
          </w:tcPr>
          <w:p w:rsidR="008A2C14" w:rsidRPr="008A2C14" w:rsidRDefault="008A2C14" w:rsidP="002F5BCA">
            <w:pPr>
              <w:autoSpaceDE w:val="0"/>
              <w:autoSpaceDN w:val="0"/>
              <w:adjustRightInd w:val="0"/>
              <w:jc w:val="center"/>
              <w:rPr>
                <w:lang w:val="en-US"/>
              </w:rPr>
            </w:pPr>
          </w:p>
        </w:tc>
      </w:tr>
      <w:tr w:rsidR="008A2C14" w:rsidRPr="00C83E72" w:rsidTr="002F5BCA">
        <w:trPr>
          <w:cantSplit/>
          <w:trHeight w:val="694"/>
          <w:tblHeader/>
        </w:trPr>
        <w:tc>
          <w:tcPr>
            <w:tcW w:w="8910" w:type="dxa"/>
            <w:gridSpan w:val="7"/>
            <w:tcBorders>
              <w:top w:val="single" w:sz="4" w:space="0" w:color="auto"/>
              <w:left w:val="nil"/>
              <w:bottom w:val="nil"/>
              <w:right w:val="nil"/>
            </w:tcBorders>
            <w:shd w:val="clear" w:color="auto" w:fill="FFFFFF"/>
            <w:tcMar>
              <w:top w:w="30" w:type="dxa"/>
              <w:left w:w="30" w:type="dxa"/>
              <w:bottom w:w="30" w:type="dxa"/>
              <w:right w:w="30" w:type="dxa"/>
            </w:tcMar>
          </w:tcPr>
          <w:p w:rsidR="008A2C14" w:rsidRPr="008A2C14" w:rsidRDefault="008A2C14" w:rsidP="008A2C14">
            <w:pPr>
              <w:numPr>
                <w:ilvl w:val="0"/>
                <w:numId w:val="19"/>
              </w:numPr>
              <w:suppressAutoHyphens w:val="0"/>
              <w:autoSpaceDE w:val="0"/>
              <w:autoSpaceDN w:val="0"/>
              <w:adjustRightInd w:val="0"/>
              <w:rPr>
                <w:lang w:val="en-US"/>
              </w:rPr>
            </w:pPr>
            <w:r w:rsidRPr="008A2C14">
              <w:rPr>
                <w:lang w:val="en-US"/>
              </w:rPr>
              <w:t>Predictors: (Constant), Profitability</w:t>
            </w:r>
          </w:p>
          <w:p w:rsidR="008A2C14" w:rsidRPr="008A2C14" w:rsidRDefault="008A2C14" w:rsidP="008A2C14">
            <w:pPr>
              <w:numPr>
                <w:ilvl w:val="0"/>
                <w:numId w:val="19"/>
              </w:numPr>
              <w:suppressAutoHyphens w:val="0"/>
              <w:autoSpaceDE w:val="0"/>
              <w:autoSpaceDN w:val="0"/>
              <w:adjustRightInd w:val="0"/>
              <w:rPr>
                <w:lang w:val="en-US"/>
              </w:rPr>
            </w:pPr>
            <w:r w:rsidRPr="008A2C14">
              <w:rPr>
                <w:lang w:val="en-US"/>
              </w:rPr>
              <w:t xml:space="preserve">Dependent Variable: Corporate Cash Holding </w:t>
            </w:r>
          </w:p>
        </w:tc>
      </w:tr>
    </w:tbl>
    <w:p w:rsidR="008A2C14" w:rsidRDefault="008A2C14" w:rsidP="0070003E">
      <w:pPr>
        <w:spacing w:line="360" w:lineRule="auto"/>
        <w:jc w:val="both"/>
      </w:pPr>
    </w:p>
    <w:p w:rsidR="00560584" w:rsidRDefault="00643BF0" w:rsidP="00560584">
      <w:pPr>
        <w:spacing w:line="360" w:lineRule="auto"/>
        <w:jc w:val="both"/>
      </w:pPr>
      <w:r w:rsidRPr="00105E80">
        <w:rPr>
          <w:szCs w:val="24"/>
        </w:rPr>
        <w:t>Analysis of Variance (ANOVA) consists of calculations that provide information about levels of variability within a regression model and form a basis for tests of significance. The "F" column provides a statistic for testing the hypothesis that all = 0 against the null hypothesis that /= 0 (Weisberg, 2005). From the findings the significance value is .00</w:t>
      </w:r>
      <w:r>
        <w:rPr>
          <w:szCs w:val="24"/>
        </w:rPr>
        <w:t>0</w:t>
      </w:r>
      <w:r w:rsidRPr="00105E80">
        <w:rPr>
          <w:szCs w:val="24"/>
        </w:rPr>
        <w:t xml:space="preserve"> which is less than 0.05, thus the model is statistically significance in predicting how </w:t>
      </w:r>
      <w:r>
        <w:rPr>
          <w:szCs w:val="24"/>
        </w:rPr>
        <w:t>profitability</w:t>
      </w:r>
      <w:r w:rsidRPr="00105E80">
        <w:rPr>
          <w:szCs w:val="24"/>
        </w:rPr>
        <w:t xml:space="preserve"> impact on the </w:t>
      </w:r>
      <w:r>
        <w:rPr>
          <w:szCs w:val="24"/>
        </w:rPr>
        <w:t>corporate cash holding</w:t>
      </w:r>
      <w:r w:rsidRPr="00105E80">
        <w:rPr>
          <w:szCs w:val="24"/>
        </w:rPr>
        <w:t xml:space="preserve"> of commercial banks in Kenya. The F critical at 5% level of significance was </w:t>
      </w:r>
      <w:r>
        <w:rPr>
          <w:szCs w:val="24"/>
        </w:rPr>
        <w:t>3.23</w:t>
      </w:r>
      <w:r w:rsidRPr="00105E80">
        <w:rPr>
          <w:szCs w:val="24"/>
        </w:rPr>
        <w:t xml:space="preserve"> Since F calculated (value = </w:t>
      </w:r>
      <w:r>
        <w:rPr>
          <w:szCs w:val="24"/>
        </w:rPr>
        <w:t>124.794</w:t>
      </w:r>
      <w:r w:rsidRPr="00105E80">
        <w:rPr>
          <w:szCs w:val="24"/>
        </w:rPr>
        <w:t>) is greater than the F critical (3.23), this shows that the overall model was significant</w:t>
      </w:r>
      <w:r w:rsidR="00560584">
        <w:rPr>
          <w:szCs w:val="24"/>
        </w:rPr>
        <w:t xml:space="preserve"> </w:t>
      </w:r>
      <w:r w:rsidR="00560584">
        <w:t>and this showed that the model had a good fit.</w:t>
      </w:r>
    </w:p>
    <w:p w:rsidR="008E2EF3" w:rsidRDefault="008E2EF3" w:rsidP="00175E1A">
      <w:pPr>
        <w:rPr>
          <w:b/>
        </w:rPr>
      </w:pPr>
    </w:p>
    <w:p w:rsidR="00916AE8" w:rsidRDefault="00916AE8" w:rsidP="00175E1A">
      <w:pPr>
        <w:rPr>
          <w:b/>
          <w:szCs w:val="24"/>
        </w:rPr>
      </w:pPr>
      <w:r>
        <w:rPr>
          <w:b/>
        </w:rPr>
        <w:t xml:space="preserve">6.2.4 </w:t>
      </w:r>
      <w:r w:rsidRPr="00B311D2">
        <w:rPr>
          <w:b/>
          <w:szCs w:val="24"/>
        </w:rPr>
        <w:t>Mu</w:t>
      </w:r>
      <w:r>
        <w:rPr>
          <w:b/>
          <w:szCs w:val="24"/>
        </w:rPr>
        <w:t xml:space="preserve">ltiple </w:t>
      </w:r>
      <w:r w:rsidR="00EB37FB">
        <w:rPr>
          <w:b/>
          <w:szCs w:val="24"/>
        </w:rPr>
        <w:t>Linear Regression</w:t>
      </w:r>
    </w:p>
    <w:p w:rsidR="00916AE8" w:rsidRDefault="00916AE8" w:rsidP="00175E1A">
      <w:pPr>
        <w:rPr>
          <w:b/>
        </w:rPr>
      </w:pPr>
    </w:p>
    <w:p w:rsidR="00916AE8" w:rsidRPr="00105E80" w:rsidRDefault="00916AE8" w:rsidP="00916AE8">
      <w:pPr>
        <w:rPr>
          <w:szCs w:val="24"/>
        </w:rPr>
      </w:pPr>
      <w:r w:rsidRPr="00105E80">
        <w:rPr>
          <w:b/>
          <w:szCs w:val="24"/>
        </w:rPr>
        <w:t xml:space="preserve">Table 4. </w:t>
      </w:r>
      <w:r w:rsidRPr="00B311D2">
        <w:rPr>
          <w:b/>
          <w:szCs w:val="24"/>
        </w:rPr>
        <w:t>Multiple linear regression results</w:t>
      </w:r>
    </w:p>
    <w:tbl>
      <w:tblPr>
        <w:tblW w:w="891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
        <w:gridCol w:w="1450"/>
        <w:gridCol w:w="900"/>
        <w:gridCol w:w="1080"/>
        <w:gridCol w:w="1620"/>
        <w:gridCol w:w="900"/>
        <w:gridCol w:w="810"/>
        <w:gridCol w:w="1260"/>
        <w:gridCol w:w="810"/>
      </w:tblGrid>
      <w:tr w:rsidR="00916AE8" w:rsidRPr="00105E80" w:rsidTr="002F5BCA">
        <w:trPr>
          <w:cantSplit/>
          <w:tblHeader/>
        </w:trPr>
        <w:tc>
          <w:tcPr>
            <w:tcW w:w="1530" w:type="dxa"/>
            <w:gridSpan w:val="2"/>
            <w:vMerge w:val="restart"/>
            <w:tcBorders>
              <w:top w:val="single" w:sz="4" w:space="0" w:color="auto"/>
              <w:left w:val="nil"/>
              <w:bottom w:val="nil"/>
              <w:right w:val="nil"/>
            </w:tcBorders>
            <w:shd w:val="clear" w:color="auto" w:fill="FFFFFF"/>
            <w:tcMar>
              <w:top w:w="30" w:type="dxa"/>
              <w:left w:w="30" w:type="dxa"/>
              <w:bottom w:w="30" w:type="dxa"/>
              <w:right w:w="30" w:type="dxa"/>
            </w:tcMar>
            <w:vAlign w:val="bottom"/>
          </w:tcPr>
          <w:p w:rsidR="00916AE8" w:rsidRPr="00105E80" w:rsidRDefault="00916AE8" w:rsidP="002F5BCA">
            <w:pPr>
              <w:autoSpaceDE w:val="0"/>
              <w:autoSpaceDN w:val="0"/>
              <w:adjustRightInd w:val="0"/>
              <w:spacing w:line="320" w:lineRule="atLeast"/>
              <w:jc w:val="center"/>
              <w:rPr>
                <w:szCs w:val="24"/>
              </w:rPr>
            </w:pPr>
            <w:r w:rsidRPr="00105E80">
              <w:rPr>
                <w:szCs w:val="24"/>
              </w:rPr>
              <w:t>Model</w:t>
            </w:r>
          </w:p>
        </w:tc>
        <w:tc>
          <w:tcPr>
            <w:tcW w:w="1980" w:type="dxa"/>
            <w:gridSpan w:val="2"/>
            <w:tcBorders>
              <w:top w:val="single" w:sz="4" w:space="0" w:color="auto"/>
              <w:left w:val="nil"/>
              <w:bottom w:val="nil"/>
              <w:right w:val="nil"/>
            </w:tcBorders>
            <w:shd w:val="clear" w:color="auto" w:fill="FFFFFF"/>
            <w:tcMar>
              <w:top w:w="30" w:type="dxa"/>
              <w:left w:w="30" w:type="dxa"/>
              <w:bottom w:w="30" w:type="dxa"/>
              <w:right w:w="30" w:type="dxa"/>
            </w:tcMar>
            <w:vAlign w:val="bottom"/>
          </w:tcPr>
          <w:p w:rsidR="00916AE8" w:rsidRPr="00105E80" w:rsidRDefault="00916AE8" w:rsidP="002F5BCA">
            <w:pPr>
              <w:autoSpaceDE w:val="0"/>
              <w:autoSpaceDN w:val="0"/>
              <w:adjustRightInd w:val="0"/>
              <w:spacing w:line="320" w:lineRule="atLeast"/>
              <w:jc w:val="center"/>
              <w:rPr>
                <w:szCs w:val="24"/>
              </w:rPr>
            </w:pPr>
            <w:r w:rsidRPr="00105E80">
              <w:rPr>
                <w:szCs w:val="24"/>
              </w:rPr>
              <w:t>Unstandardized Coefficients</w:t>
            </w:r>
          </w:p>
        </w:tc>
        <w:tc>
          <w:tcPr>
            <w:tcW w:w="1620" w:type="dxa"/>
            <w:tcBorders>
              <w:top w:val="single" w:sz="4" w:space="0" w:color="auto"/>
              <w:left w:val="nil"/>
              <w:bottom w:val="nil"/>
              <w:right w:val="nil"/>
            </w:tcBorders>
            <w:shd w:val="clear" w:color="auto" w:fill="FFFFFF"/>
            <w:tcMar>
              <w:top w:w="30" w:type="dxa"/>
              <w:left w:w="30" w:type="dxa"/>
              <w:bottom w:w="30" w:type="dxa"/>
              <w:right w:w="30" w:type="dxa"/>
            </w:tcMar>
            <w:vAlign w:val="bottom"/>
          </w:tcPr>
          <w:p w:rsidR="00916AE8" w:rsidRPr="00105E80" w:rsidRDefault="00916AE8" w:rsidP="002F5BCA">
            <w:pPr>
              <w:autoSpaceDE w:val="0"/>
              <w:autoSpaceDN w:val="0"/>
              <w:adjustRightInd w:val="0"/>
              <w:spacing w:line="320" w:lineRule="atLeast"/>
              <w:jc w:val="center"/>
              <w:rPr>
                <w:szCs w:val="24"/>
              </w:rPr>
            </w:pPr>
            <w:r w:rsidRPr="00105E80">
              <w:rPr>
                <w:szCs w:val="24"/>
              </w:rPr>
              <w:t>Standardized Coefficients</w:t>
            </w:r>
          </w:p>
        </w:tc>
        <w:tc>
          <w:tcPr>
            <w:tcW w:w="900" w:type="dxa"/>
            <w:vMerge w:val="restart"/>
            <w:tcBorders>
              <w:top w:val="single" w:sz="4" w:space="0" w:color="auto"/>
              <w:left w:val="nil"/>
              <w:bottom w:val="nil"/>
              <w:right w:val="nil"/>
            </w:tcBorders>
            <w:shd w:val="clear" w:color="auto" w:fill="FFFFFF"/>
            <w:tcMar>
              <w:top w:w="30" w:type="dxa"/>
              <w:left w:w="30" w:type="dxa"/>
              <w:bottom w:w="30" w:type="dxa"/>
              <w:right w:w="30" w:type="dxa"/>
            </w:tcMar>
            <w:vAlign w:val="bottom"/>
          </w:tcPr>
          <w:p w:rsidR="00916AE8" w:rsidRPr="00105E80" w:rsidRDefault="00916AE8" w:rsidP="002F5BCA">
            <w:pPr>
              <w:autoSpaceDE w:val="0"/>
              <w:autoSpaceDN w:val="0"/>
              <w:adjustRightInd w:val="0"/>
              <w:spacing w:line="320" w:lineRule="atLeast"/>
              <w:jc w:val="center"/>
              <w:rPr>
                <w:szCs w:val="24"/>
              </w:rPr>
            </w:pPr>
            <w:r w:rsidRPr="00105E80">
              <w:rPr>
                <w:szCs w:val="24"/>
              </w:rPr>
              <w:t>T</w:t>
            </w:r>
          </w:p>
        </w:tc>
        <w:tc>
          <w:tcPr>
            <w:tcW w:w="810" w:type="dxa"/>
            <w:vMerge w:val="restart"/>
            <w:tcBorders>
              <w:top w:val="single" w:sz="4" w:space="0" w:color="auto"/>
              <w:left w:val="nil"/>
              <w:bottom w:val="nil"/>
              <w:right w:val="nil"/>
            </w:tcBorders>
            <w:shd w:val="clear" w:color="auto" w:fill="FFFFFF"/>
            <w:tcMar>
              <w:top w:w="30" w:type="dxa"/>
              <w:left w:w="30" w:type="dxa"/>
              <w:bottom w:w="30" w:type="dxa"/>
              <w:right w:w="30" w:type="dxa"/>
            </w:tcMar>
            <w:vAlign w:val="bottom"/>
          </w:tcPr>
          <w:p w:rsidR="00916AE8" w:rsidRPr="00105E80" w:rsidRDefault="00916AE8" w:rsidP="002F5BCA">
            <w:pPr>
              <w:autoSpaceDE w:val="0"/>
              <w:autoSpaceDN w:val="0"/>
              <w:adjustRightInd w:val="0"/>
              <w:spacing w:line="320" w:lineRule="atLeast"/>
              <w:jc w:val="center"/>
              <w:rPr>
                <w:szCs w:val="24"/>
              </w:rPr>
            </w:pPr>
            <w:r w:rsidRPr="00105E80">
              <w:rPr>
                <w:szCs w:val="24"/>
              </w:rPr>
              <w:t>Sig.</w:t>
            </w:r>
          </w:p>
        </w:tc>
        <w:tc>
          <w:tcPr>
            <w:tcW w:w="2070" w:type="dxa"/>
            <w:gridSpan w:val="2"/>
            <w:tcBorders>
              <w:top w:val="single" w:sz="4" w:space="0" w:color="auto"/>
              <w:left w:val="nil"/>
              <w:bottom w:val="nil"/>
              <w:right w:val="nil"/>
            </w:tcBorders>
            <w:shd w:val="clear" w:color="auto" w:fill="FFFFFF"/>
            <w:tcMar>
              <w:top w:w="30" w:type="dxa"/>
              <w:left w:w="30" w:type="dxa"/>
              <w:bottom w:w="30" w:type="dxa"/>
              <w:right w:w="30" w:type="dxa"/>
            </w:tcMar>
            <w:vAlign w:val="bottom"/>
          </w:tcPr>
          <w:p w:rsidR="00916AE8" w:rsidRPr="00105E80" w:rsidRDefault="00916AE8" w:rsidP="002F5BCA">
            <w:pPr>
              <w:autoSpaceDE w:val="0"/>
              <w:autoSpaceDN w:val="0"/>
              <w:adjustRightInd w:val="0"/>
              <w:spacing w:line="320" w:lineRule="atLeast"/>
              <w:jc w:val="center"/>
              <w:rPr>
                <w:szCs w:val="24"/>
              </w:rPr>
            </w:pPr>
            <w:r w:rsidRPr="00105E80">
              <w:rPr>
                <w:szCs w:val="24"/>
              </w:rPr>
              <w:t>Collinearity Statistics</w:t>
            </w:r>
          </w:p>
        </w:tc>
      </w:tr>
      <w:tr w:rsidR="00916AE8" w:rsidRPr="00105E80" w:rsidTr="002F5BCA">
        <w:trPr>
          <w:cantSplit/>
          <w:tblHeader/>
        </w:trPr>
        <w:tc>
          <w:tcPr>
            <w:tcW w:w="1530" w:type="dxa"/>
            <w:gridSpan w:val="2"/>
            <w:vMerge/>
            <w:tcBorders>
              <w:top w:val="nil"/>
              <w:left w:val="nil"/>
              <w:bottom w:val="single" w:sz="4" w:space="0" w:color="auto"/>
              <w:right w:val="nil"/>
            </w:tcBorders>
            <w:shd w:val="clear" w:color="auto" w:fill="FFFFFF"/>
            <w:tcMar>
              <w:top w:w="30" w:type="dxa"/>
              <w:left w:w="30" w:type="dxa"/>
              <w:bottom w:w="30" w:type="dxa"/>
              <w:right w:w="30" w:type="dxa"/>
            </w:tcMar>
            <w:vAlign w:val="bottom"/>
          </w:tcPr>
          <w:p w:rsidR="00916AE8" w:rsidRPr="00105E80" w:rsidRDefault="00916AE8" w:rsidP="002F5BCA">
            <w:pPr>
              <w:autoSpaceDE w:val="0"/>
              <w:autoSpaceDN w:val="0"/>
              <w:adjustRightInd w:val="0"/>
              <w:jc w:val="center"/>
              <w:rPr>
                <w:szCs w:val="24"/>
              </w:rPr>
            </w:pPr>
          </w:p>
        </w:tc>
        <w:tc>
          <w:tcPr>
            <w:tcW w:w="900"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rsidR="00916AE8" w:rsidRPr="00105E80" w:rsidRDefault="00916AE8" w:rsidP="002F5BCA">
            <w:pPr>
              <w:autoSpaceDE w:val="0"/>
              <w:autoSpaceDN w:val="0"/>
              <w:adjustRightInd w:val="0"/>
              <w:spacing w:line="320" w:lineRule="atLeast"/>
              <w:jc w:val="center"/>
              <w:rPr>
                <w:szCs w:val="24"/>
              </w:rPr>
            </w:pPr>
            <w:r w:rsidRPr="00105E80">
              <w:rPr>
                <w:szCs w:val="24"/>
              </w:rPr>
              <w:t>B</w:t>
            </w:r>
          </w:p>
        </w:tc>
        <w:tc>
          <w:tcPr>
            <w:tcW w:w="1080"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rsidR="00916AE8" w:rsidRPr="00105E80" w:rsidRDefault="00916AE8" w:rsidP="002F5BCA">
            <w:pPr>
              <w:autoSpaceDE w:val="0"/>
              <w:autoSpaceDN w:val="0"/>
              <w:adjustRightInd w:val="0"/>
              <w:spacing w:line="320" w:lineRule="atLeast"/>
              <w:jc w:val="center"/>
              <w:rPr>
                <w:szCs w:val="24"/>
              </w:rPr>
            </w:pPr>
            <w:r w:rsidRPr="00105E80">
              <w:rPr>
                <w:szCs w:val="24"/>
              </w:rPr>
              <w:t>Std. Error</w:t>
            </w:r>
          </w:p>
        </w:tc>
        <w:tc>
          <w:tcPr>
            <w:tcW w:w="1620"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rsidR="00916AE8" w:rsidRPr="00105E80" w:rsidRDefault="00916AE8" w:rsidP="002F5BCA">
            <w:pPr>
              <w:autoSpaceDE w:val="0"/>
              <w:autoSpaceDN w:val="0"/>
              <w:adjustRightInd w:val="0"/>
              <w:spacing w:line="320" w:lineRule="atLeast"/>
              <w:jc w:val="center"/>
              <w:rPr>
                <w:szCs w:val="24"/>
              </w:rPr>
            </w:pPr>
            <w:r w:rsidRPr="00105E80">
              <w:rPr>
                <w:szCs w:val="24"/>
              </w:rPr>
              <w:t>Beta</w:t>
            </w:r>
          </w:p>
        </w:tc>
        <w:tc>
          <w:tcPr>
            <w:tcW w:w="900" w:type="dxa"/>
            <w:vMerge/>
            <w:tcBorders>
              <w:top w:val="nil"/>
              <w:left w:val="nil"/>
              <w:bottom w:val="single" w:sz="4" w:space="0" w:color="auto"/>
              <w:right w:val="nil"/>
            </w:tcBorders>
            <w:shd w:val="clear" w:color="auto" w:fill="FFFFFF"/>
            <w:tcMar>
              <w:top w:w="30" w:type="dxa"/>
              <w:left w:w="30" w:type="dxa"/>
              <w:bottom w:w="30" w:type="dxa"/>
              <w:right w:w="30" w:type="dxa"/>
            </w:tcMar>
            <w:vAlign w:val="bottom"/>
          </w:tcPr>
          <w:p w:rsidR="00916AE8" w:rsidRPr="00105E80" w:rsidRDefault="00916AE8" w:rsidP="002F5BCA">
            <w:pPr>
              <w:autoSpaceDE w:val="0"/>
              <w:autoSpaceDN w:val="0"/>
              <w:adjustRightInd w:val="0"/>
              <w:jc w:val="center"/>
              <w:rPr>
                <w:szCs w:val="24"/>
              </w:rPr>
            </w:pPr>
          </w:p>
        </w:tc>
        <w:tc>
          <w:tcPr>
            <w:tcW w:w="810" w:type="dxa"/>
            <w:vMerge/>
            <w:tcBorders>
              <w:top w:val="nil"/>
              <w:left w:val="nil"/>
              <w:bottom w:val="single" w:sz="4" w:space="0" w:color="auto"/>
              <w:right w:val="nil"/>
            </w:tcBorders>
            <w:shd w:val="clear" w:color="auto" w:fill="FFFFFF"/>
            <w:tcMar>
              <w:top w:w="30" w:type="dxa"/>
              <w:left w:w="30" w:type="dxa"/>
              <w:bottom w:w="30" w:type="dxa"/>
              <w:right w:w="30" w:type="dxa"/>
            </w:tcMar>
            <w:vAlign w:val="bottom"/>
          </w:tcPr>
          <w:p w:rsidR="00916AE8" w:rsidRPr="00105E80" w:rsidRDefault="00916AE8" w:rsidP="002F5BCA">
            <w:pPr>
              <w:autoSpaceDE w:val="0"/>
              <w:autoSpaceDN w:val="0"/>
              <w:adjustRightInd w:val="0"/>
              <w:jc w:val="center"/>
              <w:rPr>
                <w:szCs w:val="24"/>
              </w:rPr>
            </w:pPr>
          </w:p>
        </w:tc>
        <w:tc>
          <w:tcPr>
            <w:tcW w:w="1260"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rsidR="00916AE8" w:rsidRPr="00105E80" w:rsidRDefault="00916AE8" w:rsidP="002F5BCA">
            <w:pPr>
              <w:autoSpaceDE w:val="0"/>
              <w:autoSpaceDN w:val="0"/>
              <w:adjustRightInd w:val="0"/>
              <w:spacing w:line="320" w:lineRule="atLeast"/>
              <w:jc w:val="center"/>
              <w:rPr>
                <w:szCs w:val="24"/>
              </w:rPr>
            </w:pPr>
            <w:r w:rsidRPr="00105E80">
              <w:rPr>
                <w:szCs w:val="24"/>
              </w:rPr>
              <w:t>Tolerance</w:t>
            </w:r>
          </w:p>
        </w:tc>
        <w:tc>
          <w:tcPr>
            <w:tcW w:w="810"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rsidR="00916AE8" w:rsidRPr="00105E80" w:rsidRDefault="00916AE8" w:rsidP="002F5BCA">
            <w:pPr>
              <w:autoSpaceDE w:val="0"/>
              <w:autoSpaceDN w:val="0"/>
              <w:adjustRightInd w:val="0"/>
              <w:spacing w:line="320" w:lineRule="atLeast"/>
              <w:jc w:val="center"/>
              <w:rPr>
                <w:szCs w:val="24"/>
              </w:rPr>
            </w:pPr>
            <w:r w:rsidRPr="00105E80">
              <w:rPr>
                <w:szCs w:val="24"/>
              </w:rPr>
              <w:t>VIF</w:t>
            </w:r>
          </w:p>
        </w:tc>
      </w:tr>
      <w:tr w:rsidR="000F1422" w:rsidRPr="00105E80" w:rsidTr="00515086">
        <w:trPr>
          <w:cantSplit/>
          <w:tblHeader/>
        </w:trPr>
        <w:tc>
          <w:tcPr>
            <w:tcW w:w="80" w:type="dxa"/>
            <w:vMerge w:val="restart"/>
            <w:tcBorders>
              <w:top w:val="single" w:sz="4" w:space="0" w:color="auto"/>
              <w:left w:val="nil"/>
              <w:bottom w:val="nil"/>
              <w:right w:val="nil"/>
            </w:tcBorders>
            <w:shd w:val="clear" w:color="auto" w:fill="FFFFFF"/>
            <w:tcMar>
              <w:top w:w="30" w:type="dxa"/>
              <w:left w:w="30" w:type="dxa"/>
              <w:bottom w:w="30" w:type="dxa"/>
              <w:right w:w="30" w:type="dxa"/>
            </w:tcMar>
            <w:vAlign w:val="bottom"/>
          </w:tcPr>
          <w:p w:rsidR="000F1422" w:rsidRPr="00105E80" w:rsidRDefault="000F1422" w:rsidP="000F1422">
            <w:pPr>
              <w:autoSpaceDE w:val="0"/>
              <w:autoSpaceDN w:val="0"/>
              <w:adjustRightInd w:val="0"/>
              <w:spacing w:line="320" w:lineRule="atLeast"/>
              <w:jc w:val="center"/>
              <w:rPr>
                <w:szCs w:val="24"/>
              </w:rPr>
            </w:pPr>
            <w:r w:rsidRPr="00105E80">
              <w:rPr>
                <w:szCs w:val="24"/>
              </w:rPr>
              <w:t>1</w:t>
            </w:r>
          </w:p>
        </w:tc>
        <w:tc>
          <w:tcPr>
            <w:tcW w:w="1450" w:type="dxa"/>
            <w:tcBorders>
              <w:top w:val="single" w:sz="4" w:space="0" w:color="auto"/>
              <w:left w:val="nil"/>
              <w:bottom w:val="nil"/>
              <w:right w:val="nil"/>
            </w:tcBorders>
            <w:shd w:val="clear" w:color="auto" w:fill="FFFFFF"/>
            <w:tcMar>
              <w:top w:w="30" w:type="dxa"/>
              <w:left w:w="30" w:type="dxa"/>
              <w:bottom w:w="30" w:type="dxa"/>
              <w:right w:w="30" w:type="dxa"/>
            </w:tcMar>
            <w:vAlign w:val="bottom"/>
          </w:tcPr>
          <w:p w:rsidR="000F1422" w:rsidRPr="00105E80" w:rsidRDefault="000F1422" w:rsidP="000F1422">
            <w:pPr>
              <w:autoSpaceDE w:val="0"/>
              <w:autoSpaceDN w:val="0"/>
              <w:adjustRightInd w:val="0"/>
              <w:spacing w:line="320" w:lineRule="atLeast"/>
              <w:jc w:val="center"/>
              <w:rPr>
                <w:szCs w:val="24"/>
              </w:rPr>
            </w:pPr>
            <w:r w:rsidRPr="00105E80">
              <w:rPr>
                <w:szCs w:val="24"/>
              </w:rPr>
              <w:t>(Constant)</w:t>
            </w:r>
          </w:p>
        </w:tc>
        <w:tc>
          <w:tcPr>
            <w:tcW w:w="900" w:type="dxa"/>
            <w:tcBorders>
              <w:top w:val="single" w:sz="4" w:space="0" w:color="auto"/>
              <w:left w:val="nil"/>
              <w:bottom w:val="nil"/>
              <w:right w:val="nil"/>
            </w:tcBorders>
            <w:shd w:val="clear" w:color="auto" w:fill="FFFFFF"/>
            <w:tcMar>
              <w:top w:w="30" w:type="dxa"/>
              <w:left w:w="30" w:type="dxa"/>
              <w:bottom w:w="30" w:type="dxa"/>
              <w:right w:w="30" w:type="dxa"/>
            </w:tcMar>
          </w:tcPr>
          <w:p w:rsidR="000F1422" w:rsidRPr="00C23673" w:rsidRDefault="000F1422" w:rsidP="000F1422">
            <w:pPr>
              <w:autoSpaceDE w:val="0"/>
              <w:autoSpaceDN w:val="0"/>
              <w:adjustRightInd w:val="0"/>
              <w:spacing w:line="360" w:lineRule="auto"/>
              <w:jc w:val="center"/>
              <w:rPr>
                <w:color w:val="000000"/>
                <w:szCs w:val="24"/>
              </w:rPr>
            </w:pPr>
            <w:r w:rsidRPr="00C23673">
              <w:rPr>
                <w:color w:val="000000"/>
                <w:szCs w:val="24"/>
              </w:rPr>
              <w:t>0.117</w:t>
            </w:r>
          </w:p>
        </w:tc>
        <w:tc>
          <w:tcPr>
            <w:tcW w:w="1080" w:type="dxa"/>
            <w:tcBorders>
              <w:top w:val="single" w:sz="4" w:space="0" w:color="auto"/>
              <w:left w:val="nil"/>
              <w:bottom w:val="nil"/>
              <w:right w:val="nil"/>
            </w:tcBorders>
            <w:shd w:val="clear" w:color="auto" w:fill="FFFFFF"/>
            <w:tcMar>
              <w:top w:w="30" w:type="dxa"/>
              <w:left w:w="30" w:type="dxa"/>
              <w:bottom w:w="30" w:type="dxa"/>
              <w:right w:w="30" w:type="dxa"/>
            </w:tcMar>
          </w:tcPr>
          <w:p w:rsidR="000F1422" w:rsidRPr="00C23673" w:rsidRDefault="000F1422" w:rsidP="000F1422">
            <w:pPr>
              <w:autoSpaceDE w:val="0"/>
              <w:autoSpaceDN w:val="0"/>
              <w:adjustRightInd w:val="0"/>
              <w:spacing w:line="360" w:lineRule="auto"/>
              <w:jc w:val="center"/>
              <w:rPr>
                <w:color w:val="000000"/>
                <w:szCs w:val="24"/>
              </w:rPr>
            </w:pPr>
            <w:r w:rsidRPr="00C23673">
              <w:rPr>
                <w:color w:val="000000"/>
                <w:szCs w:val="24"/>
              </w:rPr>
              <w:t>.187</w:t>
            </w:r>
          </w:p>
        </w:tc>
        <w:tc>
          <w:tcPr>
            <w:tcW w:w="1620" w:type="dxa"/>
            <w:tcBorders>
              <w:top w:val="single" w:sz="4" w:space="0" w:color="auto"/>
              <w:left w:val="nil"/>
              <w:bottom w:val="nil"/>
              <w:right w:val="nil"/>
            </w:tcBorders>
            <w:shd w:val="clear" w:color="auto" w:fill="FFFFFF"/>
            <w:tcMar>
              <w:top w:w="30" w:type="dxa"/>
              <w:left w:w="30" w:type="dxa"/>
              <w:bottom w:w="30" w:type="dxa"/>
              <w:right w:w="30" w:type="dxa"/>
            </w:tcMar>
          </w:tcPr>
          <w:p w:rsidR="000F1422" w:rsidRPr="00C23673" w:rsidRDefault="000F1422" w:rsidP="000F1422">
            <w:pPr>
              <w:autoSpaceDE w:val="0"/>
              <w:autoSpaceDN w:val="0"/>
              <w:adjustRightInd w:val="0"/>
              <w:spacing w:line="360" w:lineRule="auto"/>
              <w:jc w:val="center"/>
              <w:rPr>
                <w:color w:val="000000"/>
                <w:szCs w:val="24"/>
              </w:rPr>
            </w:pPr>
          </w:p>
        </w:tc>
        <w:tc>
          <w:tcPr>
            <w:tcW w:w="900" w:type="dxa"/>
            <w:tcBorders>
              <w:top w:val="single" w:sz="4" w:space="0" w:color="auto"/>
              <w:left w:val="nil"/>
              <w:bottom w:val="nil"/>
              <w:right w:val="nil"/>
            </w:tcBorders>
            <w:shd w:val="clear" w:color="auto" w:fill="FFFFFF"/>
            <w:tcMar>
              <w:top w:w="30" w:type="dxa"/>
              <w:left w:w="30" w:type="dxa"/>
              <w:bottom w:w="30" w:type="dxa"/>
              <w:right w:w="30" w:type="dxa"/>
            </w:tcMar>
          </w:tcPr>
          <w:p w:rsidR="000F1422" w:rsidRPr="00C23673" w:rsidRDefault="000F1422" w:rsidP="000F1422">
            <w:pPr>
              <w:autoSpaceDE w:val="0"/>
              <w:autoSpaceDN w:val="0"/>
              <w:adjustRightInd w:val="0"/>
              <w:spacing w:line="360" w:lineRule="auto"/>
              <w:jc w:val="center"/>
              <w:rPr>
                <w:color w:val="000000"/>
                <w:szCs w:val="24"/>
              </w:rPr>
            </w:pPr>
            <w:r w:rsidRPr="00C23673">
              <w:rPr>
                <w:color w:val="000000"/>
                <w:szCs w:val="24"/>
              </w:rPr>
              <w:t>0.631</w:t>
            </w:r>
          </w:p>
        </w:tc>
        <w:tc>
          <w:tcPr>
            <w:tcW w:w="810" w:type="dxa"/>
            <w:tcBorders>
              <w:top w:val="single" w:sz="4" w:space="0" w:color="auto"/>
              <w:left w:val="nil"/>
              <w:bottom w:val="nil"/>
              <w:right w:val="nil"/>
            </w:tcBorders>
            <w:shd w:val="clear" w:color="auto" w:fill="FFFFFF"/>
            <w:tcMar>
              <w:top w:w="30" w:type="dxa"/>
              <w:left w:w="30" w:type="dxa"/>
              <w:bottom w:w="30" w:type="dxa"/>
              <w:right w:w="30" w:type="dxa"/>
            </w:tcMar>
          </w:tcPr>
          <w:p w:rsidR="000F1422" w:rsidRPr="00C23673" w:rsidRDefault="00C3624E" w:rsidP="00C3624E">
            <w:pPr>
              <w:autoSpaceDE w:val="0"/>
              <w:autoSpaceDN w:val="0"/>
              <w:adjustRightInd w:val="0"/>
              <w:spacing w:line="360" w:lineRule="auto"/>
              <w:jc w:val="center"/>
              <w:rPr>
                <w:color w:val="000000"/>
                <w:szCs w:val="24"/>
              </w:rPr>
            </w:pPr>
            <w:r>
              <w:rPr>
                <w:color w:val="000000"/>
                <w:szCs w:val="24"/>
              </w:rPr>
              <w:t>.00</w:t>
            </w:r>
            <w:r w:rsidR="000F1422" w:rsidRPr="00C23673">
              <w:rPr>
                <w:color w:val="000000"/>
                <w:szCs w:val="24"/>
              </w:rPr>
              <w:t>6</w:t>
            </w:r>
          </w:p>
        </w:tc>
        <w:tc>
          <w:tcPr>
            <w:tcW w:w="1260" w:type="dxa"/>
            <w:tcBorders>
              <w:top w:val="single" w:sz="4" w:space="0" w:color="auto"/>
              <w:left w:val="nil"/>
              <w:bottom w:val="nil"/>
              <w:right w:val="nil"/>
            </w:tcBorders>
            <w:shd w:val="clear" w:color="auto" w:fill="FFFFFF"/>
            <w:tcMar>
              <w:top w:w="30" w:type="dxa"/>
              <w:left w:w="30" w:type="dxa"/>
              <w:bottom w:w="30" w:type="dxa"/>
              <w:right w:w="30" w:type="dxa"/>
            </w:tcMar>
          </w:tcPr>
          <w:p w:rsidR="000F1422" w:rsidRPr="00C23673" w:rsidRDefault="000F1422" w:rsidP="000F1422">
            <w:pPr>
              <w:autoSpaceDE w:val="0"/>
              <w:autoSpaceDN w:val="0"/>
              <w:adjustRightInd w:val="0"/>
              <w:spacing w:line="360" w:lineRule="auto"/>
              <w:jc w:val="center"/>
              <w:rPr>
                <w:color w:val="000000"/>
                <w:szCs w:val="24"/>
              </w:rPr>
            </w:pPr>
          </w:p>
        </w:tc>
        <w:tc>
          <w:tcPr>
            <w:tcW w:w="810" w:type="dxa"/>
            <w:tcBorders>
              <w:top w:val="single" w:sz="4" w:space="0" w:color="auto"/>
              <w:left w:val="nil"/>
              <w:bottom w:val="nil"/>
              <w:right w:val="nil"/>
            </w:tcBorders>
            <w:shd w:val="clear" w:color="auto" w:fill="FFFFFF"/>
            <w:tcMar>
              <w:top w:w="30" w:type="dxa"/>
              <w:left w:w="30" w:type="dxa"/>
              <w:bottom w:w="30" w:type="dxa"/>
              <w:right w:w="30" w:type="dxa"/>
            </w:tcMar>
          </w:tcPr>
          <w:p w:rsidR="000F1422" w:rsidRPr="00C23673" w:rsidRDefault="000F1422" w:rsidP="000F1422">
            <w:pPr>
              <w:autoSpaceDE w:val="0"/>
              <w:autoSpaceDN w:val="0"/>
              <w:adjustRightInd w:val="0"/>
              <w:spacing w:line="360" w:lineRule="auto"/>
              <w:jc w:val="center"/>
              <w:rPr>
                <w:color w:val="000000"/>
                <w:szCs w:val="24"/>
              </w:rPr>
            </w:pPr>
          </w:p>
        </w:tc>
      </w:tr>
      <w:tr w:rsidR="00916AE8" w:rsidRPr="00105E80" w:rsidTr="000F1422">
        <w:trPr>
          <w:cantSplit/>
          <w:tblHeader/>
        </w:trPr>
        <w:tc>
          <w:tcPr>
            <w:tcW w:w="80" w:type="dxa"/>
            <w:vMerge/>
            <w:tcBorders>
              <w:top w:val="nil"/>
              <w:left w:val="nil"/>
              <w:bottom w:val="single" w:sz="4" w:space="0" w:color="auto"/>
              <w:right w:val="nil"/>
            </w:tcBorders>
            <w:shd w:val="clear" w:color="auto" w:fill="FFFFFF"/>
            <w:tcMar>
              <w:top w:w="30" w:type="dxa"/>
              <w:left w:w="30" w:type="dxa"/>
              <w:bottom w:w="30" w:type="dxa"/>
              <w:right w:w="30" w:type="dxa"/>
            </w:tcMar>
            <w:vAlign w:val="bottom"/>
          </w:tcPr>
          <w:p w:rsidR="00916AE8" w:rsidRPr="00105E80" w:rsidRDefault="00916AE8" w:rsidP="002F5BCA">
            <w:pPr>
              <w:autoSpaceDE w:val="0"/>
              <w:autoSpaceDN w:val="0"/>
              <w:adjustRightInd w:val="0"/>
              <w:jc w:val="center"/>
              <w:rPr>
                <w:szCs w:val="24"/>
              </w:rPr>
            </w:pPr>
          </w:p>
        </w:tc>
        <w:tc>
          <w:tcPr>
            <w:tcW w:w="1450"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rsidR="00916AE8" w:rsidRPr="00105E80" w:rsidRDefault="000F1422" w:rsidP="002F5BCA">
            <w:pPr>
              <w:autoSpaceDE w:val="0"/>
              <w:autoSpaceDN w:val="0"/>
              <w:adjustRightInd w:val="0"/>
              <w:spacing w:line="320" w:lineRule="atLeast"/>
              <w:jc w:val="center"/>
              <w:rPr>
                <w:szCs w:val="24"/>
              </w:rPr>
            </w:pPr>
            <w:r>
              <w:rPr>
                <w:szCs w:val="24"/>
              </w:rPr>
              <w:t xml:space="preserve">Profitability </w:t>
            </w:r>
          </w:p>
        </w:tc>
        <w:tc>
          <w:tcPr>
            <w:tcW w:w="900"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rsidR="00916AE8" w:rsidRPr="00105E80" w:rsidRDefault="00916AE8" w:rsidP="002F5BCA">
            <w:pPr>
              <w:autoSpaceDE w:val="0"/>
              <w:autoSpaceDN w:val="0"/>
              <w:adjustRightInd w:val="0"/>
              <w:spacing w:line="320" w:lineRule="atLeast"/>
              <w:jc w:val="center"/>
              <w:rPr>
                <w:szCs w:val="24"/>
              </w:rPr>
            </w:pPr>
            <w:r w:rsidRPr="00105E80">
              <w:rPr>
                <w:szCs w:val="24"/>
              </w:rPr>
              <w:t>0.674</w:t>
            </w:r>
          </w:p>
        </w:tc>
        <w:tc>
          <w:tcPr>
            <w:tcW w:w="1080"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rsidR="00916AE8" w:rsidRPr="00105E80" w:rsidRDefault="00916AE8" w:rsidP="002F5BCA">
            <w:pPr>
              <w:autoSpaceDE w:val="0"/>
              <w:autoSpaceDN w:val="0"/>
              <w:adjustRightInd w:val="0"/>
              <w:spacing w:line="320" w:lineRule="atLeast"/>
              <w:jc w:val="center"/>
              <w:rPr>
                <w:szCs w:val="24"/>
              </w:rPr>
            </w:pPr>
            <w:r w:rsidRPr="00105E80">
              <w:rPr>
                <w:szCs w:val="24"/>
              </w:rPr>
              <w:t>.238</w:t>
            </w:r>
          </w:p>
        </w:tc>
        <w:tc>
          <w:tcPr>
            <w:tcW w:w="1620"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rsidR="00916AE8" w:rsidRPr="00105E80" w:rsidRDefault="00916AE8" w:rsidP="002F5BCA">
            <w:pPr>
              <w:autoSpaceDE w:val="0"/>
              <w:autoSpaceDN w:val="0"/>
              <w:adjustRightInd w:val="0"/>
              <w:spacing w:line="320" w:lineRule="atLeast"/>
              <w:jc w:val="center"/>
              <w:rPr>
                <w:szCs w:val="24"/>
              </w:rPr>
            </w:pPr>
            <w:r w:rsidRPr="00105E80">
              <w:rPr>
                <w:szCs w:val="24"/>
              </w:rPr>
              <w:t>.218</w:t>
            </w:r>
          </w:p>
        </w:tc>
        <w:tc>
          <w:tcPr>
            <w:tcW w:w="900"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rsidR="00916AE8" w:rsidRPr="00105E80" w:rsidRDefault="00C3624E" w:rsidP="002F5BCA">
            <w:pPr>
              <w:autoSpaceDE w:val="0"/>
              <w:autoSpaceDN w:val="0"/>
              <w:adjustRightInd w:val="0"/>
              <w:spacing w:line="320" w:lineRule="atLeast"/>
              <w:jc w:val="center"/>
              <w:rPr>
                <w:szCs w:val="24"/>
              </w:rPr>
            </w:pPr>
            <w:r>
              <w:rPr>
                <w:szCs w:val="24"/>
              </w:rPr>
              <w:t>0</w:t>
            </w:r>
            <w:r w:rsidR="00916AE8" w:rsidRPr="00105E80">
              <w:rPr>
                <w:szCs w:val="24"/>
              </w:rPr>
              <w:t>.253</w:t>
            </w:r>
          </w:p>
        </w:tc>
        <w:tc>
          <w:tcPr>
            <w:tcW w:w="810"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rsidR="00916AE8" w:rsidRPr="00105E80" w:rsidRDefault="00916AE8" w:rsidP="002F5BCA">
            <w:pPr>
              <w:autoSpaceDE w:val="0"/>
              <w:autoSpaceDN w:val="0"/>
              <w:adjustRightInd w:val="0"/>
              <w:spacing w:line="320" w:lineRule="atLeast"/>
              <w:jc w:val="center"/>
              <w:rPr>
                <w:szCs w:val="24"/>
              </w:rPr>
            </w:pPr>
            <w:r w:rsidRPr="00105E80">
              <w:rPr>
                <w:szCs w:val="24"/>
              </w:rPr>
              <w:t>.000</w:t>
            </w:r>
          </w:p>
        </w:tc>
        <w:tc>
          <w:tcPr>
            <w:tcW w:w="1260"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rsidR="00916AE8" w:rsidRPr="00105E80" w:rsidRDefault="00916AE8" w:rsidP="002F5BCA">
            <w:pPr>
              <w:autoSpaceDE w:val="0"/>
              <w:autoSpaceDN w:val="0"/>
              <w:adjustRightInd w:val="0"/>
              <w:spacing w:line="320" w:lineRule="atLeast"/>
              <w:jc w:val="center"/>
              <w:rPr>
                <w:szCs w:val="24"/>
              </w:rPr>
            </w:pPr>
            <w:r w:rsidRPr="00105E80">
              <w:rPr>
                <w:szCs w:val="24"/>
              </w:rPr>
              <w:t>.0702</w:t>
            </w:r>
          </w:p>
        </w:tc>
        <w:tc>
          <w:tcPr>
            <w:tcW w:w="810"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rsidR="00916AE8" w:rsidRPr="00105E80" w:rsidRDefault="00916AE8" w:rsidP="002F5BCA">
            <w:pPr>
              <w:autoSpaceDE w:val="0"/>
              <w:autoSpaceDN w:val="0"/>
              <w:adjustRightInd w:val="0"/>
              <w:spacing w:line="320" w:lineRule="atLeast"/>
              <w:jc w:val="center"/>
              <w:rPr>
                <w:szCs w:val="24"/>
              </w:rPr>
            </w:pPr>
            <w:r w:rsidRPr="00105E80">
              <w:rPr>
                <w:szCs w:val="24"/>
              </w:rPr>
              <w:t>1.425</w:t>
            </w:r>
          </w:p>
        </w:tc>
      </w:tr>
    </w:tbl>
    <w:p w:rsidR="00916AE8" w:rsidRDefault="00916AE8" w:rsidP="00175E1A">
      <w:pPr>
        <w:rPr>
          <w:b/>
        </w:rPr>
      </w:pPr>
    </w:p>
    <w:p w:rsidR="00916AE8" w:rsidRDefault="00916AE8" w:rsidP="00175E1A">
      <w:pPr>
        <w:rPr>
          <w:b/>
        </w:rPr>
      </w:pPr>
    </w:p>
    <w:p w:rsidR="00916AE8" w:rsidRDefault="00916AE8" w:rsidP="00175E1A">
      <w:pPr>
        <w:rPr>
          <w:b/>
        </w:rPr>
      </w:pPr>
    </w:p>
    <w:p w:rsidR="006F4E82" w:rsidRPr="00C83E72" w:rsidRDefault="000F1422" w:rsidP="006F4E82">
      <w:pPr>
        <w:pStyle w:val="AcadBodytxt"/>
        <w:spacing w:line="360" w:lineRule="auto"/>
        <w:rPr>
          <w:color w:val="7030A0"/>
        </w:rPr>
      </w:pPr>
      <w:r w:rsidRPr="00105E80">
        <w:t xml:space="preserve">According to the regression equation established, taking all factors into consideration constant at zero, the effect of </w:t>
      </w:r>
      <w:r>
        <w:t xml:space="preserve">profitability </w:t>
      </w:r>
      <w:r w:rsidRPr="00105E80">
        <w:t xml:space="preserve">on </w:t>
      </w:r>
      <w:r>
        <w:t xml:space="preserve">corporate cash holding </w:t>
      </w:r>
      <w:r w:rsidRPr="00105E80">
        <w:t>was .</w:t>
      </w:r>
      <w:r>
        <w:t>117</w:t>
      </w:r>
      <w:r w:rsidRPr="00105E80">
        <w:t>.</w:t>
      </w:r>
      <w:r>
        <w:t xml:space="preserve"> </w:t>
      </w:r>
      <w:r w:rsidRPr="00105E80">
        <w:t xml:space="preserve">The study </w:t>
      </w:r>
      <w:r w:rsidRPr="006F4E82">
        <w:t>findings showed that there is a significant positive relationship between profitability and corporate cash holding (β=0.674 and P Value &lt; 0.05). Therefore, a unit increase in profitability leads to an increase in corporate cash holding by 0.674.</w:t>
      </w:r>
      <w:r w:rsidR="006F4E82" w:rsidRPr="006F4E82">
        <w:t xml:space="preserve"> </w:t>
      </w:r>
      <w:r w:rsidR="006F4E82" w:rsidRPr="006F4E82">
        <w:rPr>
          <w:shd w:val="clear" w:color="auto" w:fill="FFFFFF"/>
        </w:rPr>
        <w:t xml:space="preserve">The </w:t>
      </w:r>
      <w:r w:rsidR="006F4E82" w:rsidRPr="006F4E82">
        <w:t>variance inflation factor (VIF)</w:t>
      </w:r>
      <w:r w:rsidR="006F4E82" w:rsidRPr="006F4E82">
        <w:rPr>
          <w:rStyle w:val="selectable"/>
        </w:rPr>
        <w:t xml:space="preserve"> </w:t>
      </w:r>
      <w:r w:rsidR="006F4E82" w:rsidRPr="006F4E82">
        <w:rPr>
          <w:shd w:val="clear" w:color="auto" w:fill="FFFFFF"/>
        </w:rPr>
        <w:t xml:space="preserve">value for profitability was lesser than 10, and the Tolerance was also less than 0.1, thus there were no concerns over multi-collinearity. </w:t>
      </w:r>
      <w:r w:rsidR="006F4E82" w:rsidRPr="006F4E82">
        <w:t xml:space="preserve">This led to the conclusion that </w:t>
      </w:r>
      <w:r w:rsidR="006F4E82" w:rsidRPr="006F4E82">
        <w:rPr>
          <w:shd w:val="clear" w:color="auto" w:fill="FFFFFF"/>
        </w:rPr>
        <w:t>profitability</w:t>
      </w:r>
      <w:r w:rsidR="006F4E82" w:rsidRPr="006F4E82">
        <w:t xml:space="preserve"> was an all important factors in corporate cash holding in commercial banks in Kenya. </w:t>
      </w:r>
    </w:p>
    <w:p w:rsidR="00C41D6A" w:rsidRDefault="00A20C28" w:rsidP="002D7A8A">
      <w:pPr>
        <w:pStyle w:val="Heading1"/>
        <w:numPr>
          <w:ilvl w:val="0"/>
          <w:numId w:val="13"/>
        </w:numPr>
      </w:pPr>
      <w:r>
        <w:t xml:space="preserve">RECOMMENDATIONS AND AREAS FOR FURTHER STUDY </w:t>
      </w:r>
    </w:p>
    <w:p w:rsidR="00175E1A" w:rsidRDefault="00175E1A" w:rsidP="00175E1A">
      <w:pPr>
        <w:spacing w:line="360" w:lineRule="auto"/>
        <w:jc w:val="both"/>
        <w:rPr>
          <w:szCs w:val="24"/>
        </w:rPr>
      </w:pPr>
      <w:r w:rsidRPr="00175E1A">
        <w:rPr>
          <w:szCs w:val="24"/>
        </w:rPr>
        <w:t xml:space="preserve">Additional research can be carried on the effect of industry specific factors like competition, market size on profitability of commercial banks. This study used Return on Assets (ROA) to measure profitability however; there are measures like net interest margin, net profit margin and Return on Equity, which can be applied, in the banking industry to establish the effect of bank specific factors on profitability   It would be worthwhile if a replica of this study could be conducted but this time round covering a longer duration of time say fifteen years using a longitudinal form of a research design in order to find out the cause and effect of the determinants on commercial banks financial performance. The business environment where commercial banks operate is uncertain due to macro-economic factors such as technology, regulations, and politics among others that keeps on fluctuating. Thus, the researcher suggests that a study of a similar nature should be conducted after a period of 5-15 years to determine if the findings realized in this study will hold. A replica of this study should be conducted in a different industry such as insurance industry. This way, the researcher can do a comparison of findings after which a comprehensive and reliable </w:t>
      </w:r>
      <w:r w:rsidRPr="00175E1A">
        <w:rPr>
          <w:szCs w:val="24"/>
        </w:rPr>
        <w:lastRenderedPageBreak/>
        <w:t>conclusion can be drawn.</w:t>
      </w:r>
      <w:r w:rsidRPr="00ED2DC9">
        <w:t xml:space="preserve"> </w:t>
      </w:r>
      <w:r w:rsidRPr="00175E1A">
        <w:rPr>
          <w:szCs w:val="24"/>
        </w:rPr>
        <w:t>Alternatively, future research should re-apply the current study in the future with a focus on a different period of time.</w:t>
      </w:r>
    </w:p>
    <w:p w:rsidR="00C41D6A" w:rsidRDefault="00C41D6A" w:rsidP="00C41D6A">
      <w:pPr>
        <w:pStyle w:val="Paragraph1"/>
      </w:pPr>
    </w:p>
    <w:p w:rsidR="00A20C28" w:rsidRDefault="00A20C28" w:rsidP="00C41D6A">
      <w:pPr>
        <w:pStyle w:val="Paragraph1"/>
      </w:pPr>
    </w:p>
    <w:p w:rsidR="00A20C28" w:rsidRDefault="00A20C28" w:rsidP="00E5557E">
      <w:pPr>
        <w:pStyle w:val="ListNumber"/>
        <w:numPr>
          <w:ilvl w:val="0"/>
          <w:numId w:val="13"/>
        </w:numPr>
        <w:rPr>
          <w:b/>
        </w:rPr>
      </w:pPr>
      <w:r w:rsidRPr="00A20C28">
        <w:rPr>
          <w:b/>
        </w:rPr>
        <w:t>CONCLUSIONS.</w:t>
      </w:r>
    </w:p>
    <w:p w:rsidR="009F6B1C" w:rsidRPr="00D05AD8" w:rsidRDefault="009F6B1C" w:rsidP="00EB37FB">
      <w:pPr>
        <w:spacing w:line="360" w:lineRule="auto"/>
        <w:jc w:val="both"/>
        <w:rPr>
          <w:szCs w:val="24"/>
        </w:rPr>
      </w:pPr>
      <w:r w:rsidRPr="009F6B1C">
        <w:t>The conclusion of the researc</w:t>
      </w:r>
      <w:bookmarkStart w:id="6" w:name="_GoBack"/>
      <w:bookmarkEnd w:id="6"/>
      <w:r w:rsidRPr="009F6B1C">
        <w:t>h is guided by the findings of the study.</w:t>
      </w:r>
      <w:r>
        <w:t xml:space="preserve"> The findings of the study are in line with the specific objectives of the study. </w:t>
      </w:r>
      <w:r w:rsidRPr="00D05AD8">
        <w:rPr>
          <w:szCs w:val="24"/>
        </w:rPr>
        <w:t>Profitability of the firms exert a positive effect on corporate cash holdings. Profitability in commercial banks affects corporate cash holdings of the commercial banks to a very great extent. Profitability as measured by Return on Assets (ROA) show a positive and significant relationship with cash holding. Investing in cash and marketable securities results into a firm foregoing investment in more productive assets thus generating opportunity costs. Managers of firms that exhibit high cash flow volatility may hold more cash to ensure the ability to invest in new profitable projects given that internally-generated cash flows exhibit high levels of volatility. Firms hold cash because raising funds in capital markets is costlier than having retained earnings. There is a statistically significant association between return on assets with Bank’s cash holdings and lastly Commercial Banks with higher profitability keep large cash balances.</w:t>
      </w:r>
    </w:p>
    <w:p w:rsidR="00A20C28" w:rsidRDefault="00A20C28" w:rsidP="00C41D6A">
      <w:pPr>
        <w:pStyle w:val="Paragraph1"/>
      </w:pPr>
    </w:p>
    <w:p w:rsidR="00C41D6A" w:rsidRPr="004F57C2" w:rsidRDefault="00BC6B8F" w:rsidP="00C41D6A">
      <w:pPr>
        <w:pStyle w:val="Paragraph2"/>
        <w:rPr>
          <w:sz w:val="28"/>
          <w:szCs w:val="28"/>
        </w:rPr>
      </w:pPr>
      <w:r w:rsidRPr="004F57C2">
        <w:rPr>
          <w:b/>
          <w:kern w:val="2"/>
          <w:sz w:val="28"/>
          <w:szCs w:val="28"/>
        </w:rPr>
        <w:t>REFERENCES</w:t>
      </w:r>
      <w:r w:rsidRPr="004F57C2">
        <w:rPr>
          <w:b/>
          <w:sz w:val="28"/>
          <w:szCs w:val="28"/>
        </w:rPr>
        <w:t xml:space="preserve"> </w:t>
      </w:r>
    </w:p>
    <w:p w:rsidR="00C41D6A" w:rsidRDefault="00C41D6A" w:rsidP="00C41D6A">
      <w:pPr>
        <w:pStyle w:val="Paragraph2"/>
      </w:pPr>
    </w:p>
    <w:p w:rsidR="004F57C2" w:rsidRPr="00FD6DB8" w:rsidRDefault="004F57C2" w:rsidP="004F57C2">
      <w:pPr>
        <w:spacing w:line="360" w:lineRule="auto"/>
        <w:ind w:left="720" w:hanging="720"/>
        <w:rPr>
          <w:szCs w:val="24"/>
        </w:rPr>
      </w:pPr>
      <w:r w:rsidRPr="00FD6DB8">
        <w:rPr>
          <w:szCs w:val="24"/>
        </w:rPr>
        <w:t xml:space="preserve">Ali, S., Ullah, N. &amp; Ullah, N. (2016). Determinants of Corporate Cash Holdings: A Case of Textile Sector in Pakistan. </w:t>
      </w:r>
      <w:r w:rsidRPr="00FD6DB8">
        <w:rPr>
          <w:i/>
          <w:szCs w:val="24"/>
        </w:rPr>
        <w:t>International Journal of Economics &amp; Management Sciences,</w:t>
      </w:r>
      <w:r w:rsidRPr="00FD6DB8">
        <w:rPr>
          <w:szCs w:val="24"/>
        </w:rPr>
        <w:t xml:space="preserve"> 5(3), 1-10.</w:t>
      </w:r>
    </w:p>
    <w:p w:rsidR="004F57C2" w:rsidRDefault="004F57C2" w:rsidP="009900C2">
      <w:pPr>
        <w:spacing w:line="360" w:lineRule="auto"/>
        <w:ind w:left="720" w:hanging="720"/>
        <w:jc w:val="both"/>
        <w:rPr>
          <w:szCs w:val="24"/>
        </w:rPr>
      </w:pPr>
    </w:p>
    <w:p w:rsidR="00370272" w:rsidRDefault="00370272" w:rsidP="009900C2">
      <w:pPr>
        <w:spacing w:line="360" w:lineRule="auto"/>
        <w:ind w:left="720" w:hanging="720"/>
        <w:jc w:val="both"/>
        <w:rPr>
          <w:szCs w:val="24"/>
        </w:rPr>
      </w:pPr>
      <w:r w:rsidRPr="00FD6DB8">
        <w:rPr>
          <w:szCs w:val="24"/>
        </w:rPr>
        <w:t>Cooper &amp; Schindler (2011). Business Research Methods. Mc Graw Hill Publishers, 11</w:t>
      </w:r>
      <w:r w:rsidRPr="00FD6DB8">
        <w:rPr>
          <w:szCs w:val="24"/>
          <w:vertAlign w:val="superscript"/>
        </w:rPr>
        <w:t>th</w:t>
      </w:r>
      <w:r w:rsidRPr="00FD6DB8">
        <w:rPr>
          <w:szCs w:val="24"/>
        </w:rPr>
        <w:t xml:space="preserve"> Edition.</w:t>
      </w:r>
    </w:p>
    <w:p w:rsidR="00370272" w:rsidRDefault="00370272" w:rsidP="009900C2">
      <w:pPr>
        <w:spacing w:line="360" w:lineRule="auto"/>
        <w:ind w:left="720" w:hanging="720"/>
        <w:jc w:val="both"/>
        <w:rPr>
          <w:szCs w:val="24"/>
        </w:rPr>
      </w:pPr>
    </w:p>
    <w:p w:rsidR="00370272" w:rsidRPr="00CC2DC2" w:rsidRDefault="00370272" w:rsidP="009900C2">
      <w:pPr>
        <w:spacing w:line="360" w:lineRule="auto"/>
        <w:ind w:left="720" w:hanging="720"/>
        <w:jc w:val="both"/>
        <w:rPr>
          <w:szCs w:val="24"/>
        </w:rPr>
      </w:pPr>
      <w:r w:rsidRPr="00CC2DC2">
        <w:rPr>
          <w:szCs w:val="24"/>
        </w:rPr>
        <w:t>Cooper, D. R., and Schindler, P. S. (2006). Business Research Methods (9th edition). USA: McGraw-Hill</w:t>
      </w:r>
    </w:p>
    <w:p w:rsidR="00370272" w:rsidRDefault="00370272" w:rsidP="009900C2">
      <w:pPr>
        <w:spacing w:line="360" w:lineRule="auto"/>
        <w:ind w:left="720" w:hanging="720"/>
        <w:jc w:val="both"/>
        <w:rPr>
          <w:szCs w:val="24"/>
        </w:rPr>
      </w:pPr>
    </w:p>
    <w:p w:rsidR="00370272" w:rsidRDefault="00370272" w:rsidP="009900C2">
      <w:pPr>
        <w:spacing w:line="360" w:lineRule="auto"/>
        <w:ind w:left="720" w:hanging="720"/>
        <w:jc w:val="both"/>
        <w:rPr>
          <w:szCs w:val="24"/>
        </w:rPr>
      </w:pPr>
      <w:r w:rsidRPr="00FD6DB8">
        <w:rPr>
          <w:szCs w:val="24"/>
        </w:rPr>
        <w:t>Cytonn Investments (2017). Kenya’s Listed Banks Analysis: Consolidation and Prudence in a Challenging Operating Environment. Cytonn Q’1 2017 Banking Sector Report, Cytonn Investments Kenya.</w:t>
      </w:r>
    </w:p>
    <w:p w:rsidR="009900C2" w:rsidRPr="00FD6DB8" w:rsidRDefault="009900C2" w:rsidP="009900C2">
      <w:pPr>
        <w:spacing w:line="360" w:lineRule="auto"/>
        <w:ind w:left="720" w:hanging="720"/>
        <w:jc w:val="both"/>
        <w:rPr>
          <w:szCs w:val="24"/>
        </w:rPr>
      </w:pPr>
    </w:p>
    <w:p w:rsidR="009900C2" w:rsidRDefault="009900C2" w:rsidP="009900C2">
      <w:pPr>
        <w:spacing w:line="360" w:lineRule="auto"/>
        <w:ind w:left="720" w:hanging="720"/>
        <w:jc w:val="both"/>
        <w:rPr>
          <w:szCs w:val="24"/>
        </w:rPr>
      </w:pPr>
      <w:r w:rsidRPr="00FD6DB8">
        <w:rPr>
          <w:szCs w:val="24"/>
        </w:rPr>
        <w:t xml:space="preserve">Kim, C. S., Mauer, D., and Sherman, A.E. (1998). The Determinants of Corporate Liquidity: Theory and Evidence, </w:t>
      </w:r>
      <w:r w:rsidRPr="00FD6DB8">
        <w:rPr>
          <w:i/>
          <w:szCs w:val="24"/>
        </w:rPr>
        <w:t>Journal of Financial and Quantitative Analysis</w:t>
      </w:r>
      <w:r w:rsidRPr="00FD6DB8">
        <w:rPr>
          <w:szCs w:val="24"/>
        </w:rPr>
        <w:t>, 33, 335-359.</w:t>
      </w:r>
    </w:p>
    <w:p w:rsidR="00370272" w:rsidRDefault="00370272" w:rsidP="009900C2">
      <w:pPr>
        <w:spacing w:line="360" w:lineRule="auto"/>
        <w:ind w:left="720" w:hanging="720"/>
        <w:jc w:val="both"/>
        <w:rPr>
          <w:szCs w:val="24"/>
        </w:rPr>
      </w:pPr>
    </w:p>
    <w:p w:rsidR="00370272" w:rsidRDefault="00370272" w:rsidP="009900C2">
      <w:pPr>
        <w:spacing w:line="360" w:lineRule="auto"/>
        <w:ind w:left="720" w:hanging="720"/>
        <w:jc w:val="both"/>
        <w:rPr>
          <w:szCs w:val="24"/>
        </w:rPr>
      </w:pPr>
      <w:r w:rsidRPr="00FD6DB8">
        <w:rPr>
          <w:szCs w:val="24"/>
        </w:rPr>
        <w:t xml:space="preserve">Mingers, J. (2003). The Paucity of Multimethod Research: A Review of the Information Systems Literature. </w:t>
      </w:r>
      <w:r w:rsidRPr="00FD6DB8">
        <w:rPr>
          <w:i/>
          <w:szCs w:val="24"/>
        </w:rPr>
        <w:t xml:space="preserve">Information Systems Journal. </w:t>
      </w:r>
      <w:r w:rsidRPr="00FD6DB8">
        <w:rPr>
          <w:szCs w:val="24"/>
        </w:rPr>
        <w:t>13, 233-249.</w:t>
      </w:r>
    </w:p>
    <w:p w:rsidR="001F5C4E" w:rsidRDefault="001F5C4E" w:rsidP="009900C2">
      <w:pPr>
        <w:jc w:val="both"/>
        <w:rPr>
          <w:rFonts w:eastAsia="Calibri"/>
        </w:rPr>
      </w:pPr>
    </w:p>
    <w:p w:rsidR="001F5C4E" w:rsidRDefault="001F5C4E" w:rsidP="009900C2">
      <w:pPr>
        <w:spacing w:line="360" w:lineRule="auto"/>
        <w:ind w:left="720" w:hanging="720"/>
        <w:jc w:val="both"/>
        <w:rPr>
          <w:szCs w:val="24"/>
        </w:rPr>
      </w:pPr>
      <w:r w:rsidRPr="00FD6DB8">
        <w:rPr>
          <w:szCs w:val="24"/>
        </w:rPr>
        <w:t xml:space="preserve">Myers, S.C., &amp; Majluf, N.S. (1984). Corporate Financing and Investment Decisions When Firms Have Information that Investors do not </w:t>
      </w:r>
      <w:r w:rsidR="00203D82" w:rsidRPr="00FD6DB8">
        <w:rPr>
          <w:szCs w:val="24"/>
        </w:rPr>
        <w:t>have</w:t>
      </w:r>
      <w:r w:rsidRPr="00FD6DB8">
        <w:rPr>
          <w:szCs w:val="24"/>
        </w:rPr>
        <w:t xml:space="preserve">. </w:t>
      </w:r>
      <w:r w:rsidRPr="00FD6DB8">
        <w:rPr>
          <w:i/>
          <w:szCs w:val="24"/>
        </w:rPr>
        <w:t>Journal of Financial Economics,</w:t>
      </w:r>
      <w:r w:rsidRPr="00FD6DB8">
        <w:rPr>
          <w:szCs w:val="24"/>
        </w:rPr>
        <w:t xml:space="preserve"> 13(2), 187-221. </w:t>
      </w:r>
    </w:p>
    <w:p w:rsidR="00504D70" w:rsidRDefault="00504D70" w:rsidP="009900C2">
      <w:pPr>
        <w:spacing w:line="360" w:lineRule="auto"/>
        <w:ind w:left="720" w:hanging="720"/>
        <w:jc w:val="both"/>
        <w:rPr>
          <w:szCs w:val="24"/>
        </w:rPr>
      </w:pPr>
    </w:p>
    <w:p w:rsidR="00504D70" w:rsidRDefault="00504D70" w:rsidP="009900C2">
      <w:pPr>
        <w:spacing w:line="360" w:lineRule="auto"/>
        <w:ind w:left="720" w:hanging="720"/>
        <w:jc w:val="both"/>
        <w:rPr>
          <w:szCs w:val="24"/>
        </w:rPr>
      </w:pPr>
      <w:r w:rsidRPr="00FD6DB8">
        <w:rPr>
          <w:szCs w:val="24"/>
        </w:rPr>
        <w:t xml:space="preserve">Opler, T., Pinkowitz, L., Stulz, R., Williamson, R. (2001). Corporate Cash Holdings. </w:t>
      </w:r>
      <w:r w:rsidRPr="00FD6DB8">
        <w:rPr>
          <w:i/>
          <w:szCs w:val="24"/>
        </w:rPr>
        <w:t>Journal of Applied Corporate Finance</w:t>
      </w:r>
      <w:r w:rsidRPr="00FD6DB8">
        <w:rPr>
          <w:szCs w:val="24"/>
        </w:rPr>
        <w:t>, 14, 55-66.</w:t>
      </w:r>
    </w:p>
    <w:p w:rsidR="003E77A0" w:rsidRDefault="003E77A0" w:rsidP="00504D70">
      <w:pPr>
        <w:spacing w:line="360" w:lineRule="auto"/>
        <w:ind w:left="720" w:hanging="720"/>
        <w:rPr>
          <w:szCs w:val="24"/>
        </w:rPr>
      </w:pPr>
    </w:p>
    <w:p w:rsidR="00C61ED1" w:rsidRDefault="00A53C20" w:rsidP="00C61ED1">
      <w:pPr>
        <w:spacing w:line="360" w:lineRule="auto"/>
        <w:ind w:left="720" w:hanging="720"/>
        <w:jc w:val="both"/>
        <w:rPr>
          <w:szCs w:val="24"/>
        </w:rPr>
      </w:pPr>
      <w:r>
        <w:rPr>
          <w:rFonts w:eastAsia="Calibri"/>
        </w:rPr>
        <w:t xml:space="preserve">Podder, </w:t>
      </w:r>
      <w:r w:rsidR="00C61ED1">
        <w:rPr>
          <w:rFonts w:eastAsia="Calibri"/>
        </w:rPr>
        <w:t>G., (</w:t>
      </w:r>
      <w:r>
        <w:rPr>
          <w:rFonts w:eastAsia="Calibri"/>
        </w:rPr>
        <w:t>2012</w:t>
      </w:r>
      <w:r w:rsidR="00C61ED1">
        <w:rPr>
          <w:rFonts w:eastAsia="Calibri"/>
        </w:rPr>
        <w:t xml:space="preserve">). </w:t>
      </w:r>
      <w:r w:rsidR="00C61ED1" w:rsidRPr="00FD6DB8">
        <w:rPr>
          <w:szCs w:val="24"/>
        </w:rPr>
        <w:t xml:space="preserve">Analysis of the Determinants of Corporate Cash Holdings: Examples from Companies in Serbia. </w:t>
      </w:r>
      <w:r w:rsidR="00C61ED1" w:rsidRPr="00FD6DB8">
        <w:rPr>
          <w:i/>
          <w:szCs w:val="24"/>
        </w:rPr>
        <w:t>The European Journal of Applied Economics</w:t>
      </w:r>
      <w:r w:rsidR="00C61ED1" w:rsidRPr="00FD6DB8">
        <w:rPr>
          <w:szCs w:val="24"/>
        </w:rPr>
        <w:t>, 14(1), 13-23.</w:t>
      </w:r>
    </w:p>
    <w:p w:rsidR="00D248D0" w:rsidRDefault="00767D3F">
      <w:pPr>
        <w:rPr>
          <w:rFonts w:eastAsia="Calibri"/>
        </w:rPr>
      </w:pPr>
    </w:p>
    <w:p w:rsidR="009900C2" w:rsidRPr="00FD6DB8" w:rsidRDefault="009900C2" w:rsidP="009900C2">
      <w:pPr>
        <w:spacing w:line="360" w:lineRule="auto"/>
        <w:ind w:left="720" w:hanging="720"/>
        <w:jc w:val="both"/>
        <w:rPr>
          <w:szCs w:val="24"/>
        </w:rPr>
      </w:pPr>
      <w:r w:rsidRPr="00FD6DB8">
        <w:rPr>
          <w:szCs w:val="24"/>
        </w:rPr>
        <w:t xml:space="preserve">Rahi, S. (2017). Research Design and Methods: A systematic Review of Research Paradigms, Sampling Issues and Instruments Developed. </w:t>
      </w:r>
      <w:r w:rsidRPr="00FD6DB8">
        <w:rPr>
          <w:i/>
          <w:szCs w:val="24"/>
        </w:rPr>
        <w:t xml:space="preserve">International Journal of Economics and Management Sciences. </w:t>
      </w:r>
      <w:r w:rsidRPr="00FD6DB8">
        <w:rPr>
          <w:szCs w:val="24"/>
        </w:rPr>
        <w:t>6(2), 1-5.</w:t>
      </w:r>
    </w:p>
    <w:p w:rsidR="009900C2" w:rsidRDefault="009900C2"/>
    <w:sectPr w:rsidR="009900C2" w:rsidSect="006045B5">
      <w:headerReference w:type="default" r:id="rId8"/>
      <w:footerReference w:type="default" r:id="rId9"/>
      <w:headerReference w:type="first" r:id="rId10"/>
      <w:pgSz w:w="11906" w:h="16838"/>
      <w:pgMar w:top="1530" w:right="1469" w:bottom="990" w:left="158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D3F" w:rsidRDefault="00767D3F">
      <w:r>
        <w:separator/>
      </w:r>
    </w:p>
  </w:endnote>
  <w:endnote w:type="continuationSeparator" w:id="0">
    <w:p w:rsidR="00767D3F" w:rsidRDefault="0076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eeSans">
    <w:charset w:val="01"/>
    <w:family w:val="swiss"/>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5B5" w:rsidRDefault="00C41D6A">
    <w:pPr>
      <w:pStyle w:val="Footer"/>
      <w:jc w:val="right"/>
    </w:pPr>
    <w:r>
      <w:fldChar w:fldCharType="begin"/>
    </w:r>
    <w:r>
      <w:instrText xml:space="preserve"> PAGE   \* MERGEFORMAT </w:instrText>
    </w:r>
    <w:r>
      <w:fldChar w:fldCharType="separate"/>
    </w:r>
    <w:r w:rsidR="006D2104">
      <w:rPr>
        <w:noProof/>
      </w:rPr>
      <w:t>10</w:t>
    </w:r>
    <w:r>
      <w:rPr>
        <w:noProof/>
      </w:rPr>
      <w:fldChar w:fldCharType="end"/>
    </w:r>
  </w:p>
  <w:p w:rsidR="006045B5" w:rsidRDefault="00767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D3F" w:rsidRDefault="00767D3F">
      <w:r>
        <w:separator/>
      </w:r>
    </w:p>
  </w:footnote>
  <w:footnote w:type="continuationSeparator" w:id="0">
    <w:p w:rsidR="00767D3F" w:rsidRDefault="00767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5B5" w:rsidRDefault="00C41D6A">
    <w:pPr>
      <w:pStyle w:val="Header"/>
      <w:ind w:left="1440"/>
    </w:pPr>
    <w:r>
      <w:rPr>
        <w: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731" w:rsidRDefault="00767D3F" w:rsidP="006D2104">
    <w:pPr>
      <w:pStyle w:val="Header"/>
    </w:pPr>
  </w:p>
  <w:p w:rsidR="006A0731" w:rsidRDefault="00767D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064"/>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360" w:hanging="360"/>
      </w:pPr>
    </w:lvl>
  </w:abstractNum>
  <w:abstractNum w:abstractNumId="2" w15:restartNumberingAfterBreak="0">
    <w:nsid w:val="00000003"/>
    <w:multiLevelType w:val="singleLevel"/>
    <w:tmpl w:val="00000003"/>
    <w:name w:val="WW8Num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3" w15:restartNumberingAfterBreak="0">
    <w:nsid w:val="00000004"/>
    <w:multiLevelType w:val="multilevel"/>
    <w:tmpl w:val="00000004"/>
    <w:name w:val="WW8Num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F9761B"/>
    <w:multiLevelType w:val="multilevel"/>
    <w:tmpl w:val="80A49B2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4D76C97"/>
    <w:multiLevelType w:val="hybridMultilevel"/>
    <w:tmpl w:val="03BE10CE"/>
    <w:lvl w:ilvl="0" w:tplc="BED47D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FF4C84"/>
    <w:multiLevelType w:val="multilevel"/>
    <w:tmpl w:val="74C2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BD0B84"/>
    <w:multiLevelType w:val="hybridMultilevel"/>
    <w:tmpl w:val="099C13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BA205B"/>
    <w:multiLevelType w:val="hybridMultilevel"/>
    <w:tmpl w:val="1506E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7020F9"/>
    <w:multiLevelType w:val="multilevel"/>
    <w:tmpl w:val="53BA877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D224C8A"/>
    <w:multiLevelType w:val="hybridMultilevel"/>
    <w:tmpl w:val="160E8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3120F"/>
    <w:multiLevelType w:val="hybridMultilevel"/>
    <w:tmpl w:val="CED43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FE0D78"/>
    <w:multiLevelType w:val="multilevel"/>
    <w:tmpl w:val="F296EE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7A52F73"/>
    <w:multiLevelType w:val="hybridMultilevel"/>
    <w:tmpl w:val="3C4691DE"/>
    <w:lvl w:ilvl="0" w:tplc="257E995E">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862DF4"/>
    <w:multiLevelType w:val="hybridMultilevel"/>
    <w:tmpl w:val="254AF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9243CC"/>
    <w:multiLevelType w:val="hybridMultilevel"/>
    <w:tmpl w:val="80940A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0601F1"/>
    <w:multiLevelType w:val="hybridMultilevel"/>
    <w:tmpl w:val="2FBA7F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EF33B4"/>
    <w:multiLevelType w:val="multilevel"/>
    <w:tmpl w:val="600AD60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63291A"/>
    <w:multiLevelType w:val="multilevel"/>
    <w:tmpl w:val="0C743810"/>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177387F"/>
    <w:multiLevelType w:val="hybridMultilevel"/>
    <w:tmpl w:val="C950804C"/>
    <w:lvl w:ilvl="0" w:tplc="F89C2D52">
      <w:start w:val="1"/>
      <w:numFmt w:val="low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E109B1"/>
    <w:multiLevelType w:val="hybridMultilevel"/>
    <w:tmpl w:val="14B6F91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651E7"/>
    <w:multiLevelType w:val="multilevel"/>
    <w:tmpl w:val="123CEB10"/>
    <w:lvl w:ilvl="0">
      <w:start w:val="1"/>
      <w:numFmt w:val="none"/>
      <w:lvlText w:val="4.2."/>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1"/>
  </w:num>
  <w:num w:numId="3">
    <w:abstractNumId w:val="2"/>
  </w:num>
  <w:num w:numId="4">
    <w:abstractNumId w:val="3"/>
  </w:num>
  <w:num w:numId="5">
    <w:abstractNumId w:val="13"/>
  </w:num>
  <w:num w:numId="6">
    <w:abstractNumId w:val="10"/>
  </w:num>
  <w:num w:numId="7">
    <w:abstractNumId w:val="8"/>
  </w:num>
  <w:num w:numId="8">
    <w:abstractNumId w:val="21"/>
  </w:num>
  <w:num w:numId="9">
    <w:abstractNumId w:val="14"/>
  </w:num>
  <w:num w:numId="10">
    <w:abstractNumId w:val="5"/>
  </w:num>
  <w:num w:numId="11">
    <w:abstractNumId w:val="4"/>
  </w:num>
  <w:num w:numId="12">
    <w:abstractNumId w:val="18"/>
  </w:num>
  <w:num w:numId="13">
    <w:abstractNumId w:val="12"/>
  </w:num>
  <w:num w:numId="14">
    <w:abstractNumId w:val="9"/>
  </w:num>
  <w:num w:numId="15">
    <w:abstractNumId w:val="17"/>
  </w:num>
  <w:num w:numId="16">
    <w:abstractNumId w:val="6"/>
  </w:num>
  <w:num w:numId="17">
    <w:abstractNumId w:val="11"/>
  </w:num>
  <w:num w:numId="18">
    <w:abstractNumId w:val="19"/>
  </w:num>
  <w:num w:numId="19">
    <w:abstractNumId w:val="15"/>
  </w:num>
  <w:num w:numId="20">
    <w:abstractNumId w:val="7"/>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6A"/>
    <w:rsid w:val="0001285B"/>
    <w:rsid w:val="00017040"/>
    <w:rsid w:val="000A53EE"/>
    <w:rsid w:val="000D510B"/>
    <w:rsid w:val="000F1422"/>
    <w:rsid w:val="000F322B"/>
    <w:rsid w:val="00156E47"/>
    <w:rsid w:val="00175E1A"/>
    <w:rsid w:val="001902CB"/>
    <w:rsid w:val="00195DAF"/>
    <w:rsid w:val="001C13FD"/>
    <w:rsid w:val="001F5C4E"/>
    <w:rsid w:val="00203D82"/>
    <w:rsid w:val="002062DD"/>
    <w:rsid w:val="002D7A8A"/>
    <w:rsid w:val="00310BDA"/>
    <w:rsid w:val="00370272"/>
    <w:rsid w:val="003D5B47"/>
    <w:rsid w:val="003E77A0"/>
    <w:rsid w:val="0048767C"/>
    <w:rsid w:val="004F57C2"/>
    <w:rsid w:val="00504D70"/>
    <w:rsid w:val="00560584"/>
    <w:rsid w:val="005A0AC3"/>
    <w:rsid w:val="00602FF7"/>
    <w:rsid w:val="0062092C"/>
    <w:rsid w:val="00643BF0"/>
    <w:rsid w:val="006D2104"/>
    <w:rsid w:val="006F4E82"/>
    <w:rsid w:val="0070003E"/>
    <w:rsid w:val="00715962"/>
    <w:rsid w:val="00767D3F"/>
    <w:rsid w:val="007C65DD"/>
    <w:rsid w:val="0081195C"/>
    <w:rsid w:val="00836947"/>
    <w:rsid w:val="008665E8"/>
    <w:rsid w:val="008A2C14"/>
    <w:rsid w:val="008E2EF3"/>
    <w:rsid w:val="00916AE8"/>
    <w:rsid w:val="00964861"/>
    <w:rsid w:val="009900C2"/>
    <w:rsid w:val="009B2858"/>
    <w:rsid w:val="009F6B1C"/>
    <w:rsid w:val="00A20103"/>
    <w:rsid w:val="00A20C28"/>
    <w:rsid w:val="00A53C20"/>
    <w:rsid w:val="00A90CCD"/>
    <w:rsid w:val="00AB1807"/>
    <w:rsid w:val="00AB590B"/>
    <w:rsid w:val="00AD5A04"/>
    <w:rsid w:val="00AD6450"/>
    <w:rsid w:val="00AE1FA7"/>
    <w:rsid w:val="00B220A2"/>
    <w:rsid w:val="00B80092"/>
    <w:rsid w:val="00BC6B8F"/>
    <w:rsid w:val="00C146A1"/>
    <w:rsid w:val="00C3624E"/>
    <w:rsid w:val="00C41D6A"/>
    <w:rsid w:val="00C61ED1"/>
    <w:rsid w:val="00CA65D4"/>
    <w:rsid w:val="00D35D33"/>
    <w:rsid w:val="00D661F5"/>
    <w:rsid w:val="00D7229F"/>
    <w:rsid w:val="00DC3931"/>
    <w:rsid w:val="00E5557E"/>
    <w:rsid w:val="00E8407E"/>
    <w:rsid w:val="00EB37FB"/>
    <w:rsid w:val="00EC418C"/>
    <w:rsid w:val="00F1361A"/>
    <w:rsid w:val="00F42095"/>
    <w:rsid w:val="00F42B53"/>
    <w:rsid w:val="00F552E8"/>
    <w:rsid w:val="00FE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402CB3-4ADE-4D5A-B83B-23889632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3FD"/>
    <w:pPr>
      <w:suppressAutoHyphens/>
      <w:spacing w:after="0" w:line="240" w:lineRule="auto"/>
    </w:pPr>
    <w:rPr>
      <w:rFonts w:ascii="Times New Roman" w:eastAsia="Times New Roman" w:hAnsi="Times New Roman" w:cs="Times New Roman"/>
      <w:sz w:val="24"/>
      <w:szCs w:val="20"/>
      <w:lang w:val="en-GB" w:eastAsia="zh-CN"/>
    </w:rPr>
  </w:style>
  <w:style w:type="paragraph" w:styleId="Heading1">
    <w:name w:val="heading 1"/>
    <w:basedOn w:val="Normal"/>
    <w:next w:val="Normal"/>
    <w:link w:val="Heading1Char"/>
    <w:qFormat/>
    <w:rsid w:val="00C41D6A"/>
    <w:pPr>
      <w:keepNext/>
      <w:numPr>
        <w:numId w:val="1"/>
      </w:numPr>
      <w:spacing w:before="200" w:after="120"/>
      <w:outlineLvl w:val="0"/>
    </w:pPr>
    <w:rPr>
      <w:b/>
      <w:kern w:val="2"/>
      <w:sz w:val="28"/>
    </w:rPr>
  </w:style>
  <w:style w:type="paragraph" w:styleId="Heading2">
    <w:name w:val="heading 2"/>
    <w:basedOn w:val="Normal"/>
    <w:next w:val="Normal"/>
    <w:link w:val="Heading2Char"/>
    <w:qFormat/>
    <w:rsid w:val="00C41D6A"/>
    <w:pPr>
      <w:keepNext/>
      <w:numPr>
        <w:ilvl w:val="1"/>
        <w:numId w:val="1"/>
      </w:numPr>
      <w:spacing w:before="240" w:after="240"/>
      <w:outlineLvl w:val="1"/>
    </w:pPr>
    <w:rPr>
      <w:i/>
    </w:rPr>
  </w:style>
  <w:style w:type="paragraph" w:styleId="Heading3">
    <w:name w:val="heading 3"/>
    <w:basedOn w:val="Normal"/>
    <w:next w:val="Normal"/>
    <w:link w:val="Heading3Char"/>
    <w:uiPriority w:val="9"/>
    <w:semiHidden/>
    <w:unhideWhenUsed/>
    <w:qFormat/>
    <w:rsid w:val="00195DA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D6A"/>
    <w:rPr>
      <w:rFonts w:ascii="Times New Roman" w:eastAsia="Times New Roman" w:hAnsi="Times New Roman" w:cs="Times New Roman"/>
      <w:b/>
      <w:kern w:val="2"/>
      <w:sz w:val="28"/>
      <w:szCs w:val="20"/>
      <w:lang w:val="en-GB" w:eastAsia="zh-CN"/>
    </w:rPr>
  </w:style>
  <w:style w:type="character" w:customStyle="1" w:styleId="Heading2Char">
    <w:name w:val="Heading 2 Char"/>
    <w:basedOn w:val="DefaultParagraphFont"/>
    <w:link w:val="Heading2"/>
    <w:rsid w:val="00C41D6A"/>
    <w:rPr>
      <w:rFonts w:ascii="Times New Roman" w:eastAsia="Times New Roman" w:hAnsi="Times New Roman" w:cs="Times New Roman"/>
      <w:i/>
      <w:sz w:val="24"/>
      <w:szCs w:val="20"/>
      <w:lang w:val="en-GB" w:eastAsia="zh-CN"/>
    </w:rPr>
  </w:style>
  <w:style w:type="character" w:customStyle="1" w:styleId="WW8Num1z0">
    <w:name w:val="WW8Num1z0"/>
    <w:rsid w:val="00C41D6A"/>
  </w:style>
  <w:style w:type="character" w:customStyle="1" w:styleId="WW8Num2z0">
    <w:name w:val="WW8Num2z0"/>
    <w:rsid w:val="00C41D6A"/>
    <w:rPr>
      <w:rFonts w:ascii="Symbol" w:hAnsi="Symbol" w:cs="Symbol" w:hint="default"/>
    </w:rPr>
  </w:style>
  <w:style w:type="character" w:customStyle="1" w:styleId="WW8Num3z0">
    <w:name w:val="WW8Num3z0"/>
    <w:rsid w:val="00C41D6A"/>
    <w:rPr>
      <w:rFonts w:hint="default"/>
    </w:rPr>
  </w:style>
  <w:style w:type="character" w:customStyle="1" w:styleId="WW8Num4z0">
    <w:name w:val="WW8Num4z0"/>
    <w:rsid w:val="00C41D6A"/>
    <w:rPr>
      <w:rFonts w:ascii="Times New Roman" w:hAnsi="Times New Roman" w:cs="Times New Roman" w:hint="default"/>
    </w:rPr>
  </w:style>
  <w:style w:type="character" w:customStyle="1" w:styleId="WW8Num5z0">
    <w:name w:val="WW8Num5z0"/>
    <w:rsid w:val="00C41D6A"/>
    <w:rPr>
      <w:rFonts w:hint="default"/>
    </w:rPr>
  </w:style>
  <w:style w:type="character" w:styleId="Hyperlink">
    <w:name w:val="Hyperlink"/>
    <w:rsid w:val="00C41D6A"/>
    <w:rPr>
      <w:color w:val="0000FF"/>
      <w:u w:val="single"/>
    </w:rPr>
  </w:style>
  <w:style w:type="character" w:customStyle="1" w:styleId="Paragraph1Char">
    <w:name w:val="Paragraph 1 Char"/>
    <w:rsid w:val="00C41D6A"/>
    <w:rPr>
      <w:sz w:val="24"/>
      <w:lang w:val="en-GB"/>
    </w:rPr>
  </w:style>
  <w:style w:type="character" w:customStyle="1" w:styleId="Paragraph2Char">
    <w:name w:val="Paragraph 2 Char"/>
    <w:basedOn w:val="Paragraph1Char"/>
    <w:rsid w:val="00C41D6A"/>
    <w:rPr>
      <w:sz w:val="24"/>
      <w:lang w:val="en-GB"/>
    </w:rPr>
  </w:style>
  <w:style w:type="character" w:customStyle="1" w:styleId="EndNoteBibliographyTitleChar">
    <w:name w:val="EndNote Bibliography Title Char"/>
    <w:rsid w:val="00C41D6A"/>
    <w:rPr>
      <w:sz w:val="24"/>
      <w:lang w:val="en-GB" w:eastAsia="en-US"/>
    </w:rPr>
  </w:style>
  <w:style w:type="character" w:customStyle="1" w:styleId="EndNoteBibliographyChar">
    <w:name w:val="EndNote Bibliography Char"/>
    <w:rsid w:val="00C41D6A"/>
    <w:rPr>
      <w:sz w:val="24"/>
      <w:lang w:val="en-GB" w:eastAsia="en-US"/>
    </w:rPr>
  </w:style>
  <w:style w:type="character" w:customStyle="1" w:styleId="HeaderChar">
    <w:name w:val="Header Char"/>
    <w:uiPriority w:val="99"/>
    <w:rsid w:val="00C41D6A"/>
    <w:rPr>
      <w:sz w:val="24"/>
      <w:lang w:val="en-GB"/>
    </w:rPr>
  </w:style>
  <w:style w:type="character" w:customStyle="1" w:styleId="FooterChar">
    <w:name w:val="Footer Char"/>
    <w:uiPriority w:val="99"/>
    <w:rsid w:val="00C41D6A"/>
    <w:rPr>
      <w:sz w:val="24"/>
      <w:lang w:val="en-GB"/>
    </w:rPr>
  </w:style>
  <w:style w:type="paragraph" w:customStyle="1" w:styleId="Heading">
    <w:name w:val="Heading"/>
    <w:basedOn w:val="Normal"/>
    <w:next w:val="BodyText"/>
    <w:rsid w:val="00C41D6A"/>
    <w:pPr>
      <w:spacing w:before="1080" w:after="240"/>
      <w:jc w:val="center"/>
    </w:pPr>
    <w:rPr>
      <w:b/>
      <w:kern w:val="2"/>
      <w:sz w:val="48"/>
    </w:rPr>
  </w:style>
  <w:style w:type="paragraph" w:styleId="BodyText">
    <w:name w:val="Body Text"/>
    <w:basedOn w:val="Normal"/>
    <w:link w:val="BodyTextChar"/>
    <w:rsid w:val="00C41D6A"/>
    <w:pPr>
      <w:spacing w:after="140" w:line="276" w:lineRule="auto"/>
    </w:pPr>
  </w:style>
  <w:style w:type="character" w:customStyle="1" w:styleId="BodyTextChar">
    <w:name w:val="Body Text Char"/>
    <w:basedOn w:val="DefaultParagraphFont"/>
    <w:link w:val="BodyText"/>
    <w:rsid w:val="00C41D6A"/>
    <w:rPr>
      <w:rFonts w:ascii="Times New Roman" w:eastAsia="Times New Roman" w:hAnsi="Times New Roman" w:cs="Times New Roman"/>
      <w:sz w:val="24"/>
      <w:szCs w:val="20"/>
      <w:lang w:val="en-GB" w:eastAsia="zh-CN"/>
    </w:rPr>
  </w:style>
  <w:style w:type="paragraph" w:styleId="List">
    <w:name w:val="List"/>
    <w:basedOn w:val="BodyText"/>
    <w:rsid w:val="00C41D6A"/>
    <w:rPr>
      <w:rFonts w:cs="FreeSans"/>
    </w:rPr>
  </w:style>
  <w:style w:type="paragraph" w:styleId="Caption">
    <w:name w:val="caption"/>
    <w:basedOn w:val="Normal"/>
    <w:next w:val="Normal"/>
    <w:qFormat/>
    <w:rsid w:val="00C41D6A"/>
    <w:pPr>
      <w:spacing w:before="120" w:after="120"/>
      <w:jc w:val="center"/>
    </w:pPr>
    <w:rPr>
      <w:i/>
      <w:sz w:val="20"/>
    </w:rPr>
  </w:style>
  <w:style w:type="paragraph" w:customStyle="1" w:styleId="Index">
    <w:name w:val="Index"/>
    <w:basedOn w:val="Normal"/>
    <w:rsid w:val="00C41D6A"/>
    <w:pPr>
      <w:suppressLineNumbers/>
    </w:pPr>
    <w:rPr>
      <w:rFonts w:cs="FreeSans"/>
    </w:rPr>
  </w:style>
  <w:style w:type="paragraph" w:customStyle="1" w:styleId="AuthorName">
    <w:name w:val="Author Name"/>
    <w:basedOn w:val="Normal"/>
    <w:rsid w:val="00C41D6A"/>
    <w:pPr>
      <w:jc w:val="center"/>
    </w:pPr>
  </w:style>
  <w:style w:type="paragraph" w:customStyle="1" w:styleId="AuthorAddresses">
    <w:name w:val="Author Addresses"/>
    <w:basedOn w:val="Normal"/>
    <w:rsid w:val="00C41D6A"/>
    <w:pPr>
      <w:jc w:val="center"/>
    </w:pPr>
    <w:rPr>
      <w:i/>
    </w:rPr>
  </w:style>
  <w:style w:type="paragraph" w:customStyle="1" w:styleId="Abstract">
    <w:name w:val="Abstract"/>
    <w:basedOn w:val="Normal"/>
    <w:rsid w:val="00C41D6A"/>
    <w:pPr>
      <w:spacing w:before="200"/>
      <w:ind w:left="1008" w:right="1008"/>
    </w:pPr>
    <w:rPr>
      <w:sz w:val="20"/>
    </w:rPr>
  </w:style>
  <w:style w:type="paragraph" w:customStyle="1" w:styleId="Paragraph1">
    <w:name w:val="Paragraph 1"/>
    <w:basedOn w:val="Normal"/>
    <w:rsid w:val="00C41D6A"/>
    <w:pPr>
      <w:jc w:val="both"/>
    </w:pPr>
  </w:style>
  <w:style w:type="paragraph" w:customStyle="1" w:styleId="Paragraph2">
    <w:name w:val="Paragraph 2"/>
    <w:basedOn w:val="Paragraph1"/>
    <w:rsid w:val="00C41D6A"/>
    <w:pPr>
      <w:tabs>
        <w:tab w:val="left" w:pos="360"/>
      </w:tabs>
    </w:pPr>
  </w:style>
  <w:style w:type="paragraph" w:styleId="ListBullet">
    <w:name w:val="List Bullet"/>
    <w:basedOn w:val="Normal"/>
    <w:rsid w:val="00C41D6A"/>
    <w:pPr>
      <w:numPr>
        <w:numId w:val="3"/>
      </w:numPr>
    </w:pPr>
  </w:style>
  <w:style w:type="paragraph" w:styleId="ListNumber">
    <w:name w:val="List Number"/>
    <w:basedOn w:val="Normal"/>
    <w:rsid w:val="00C41D6A"/>
  </w:style>
  <w:style w:type="paragraph" w:customStyle="1" w:styleId="EndNoteBibliographyTitle">
    <w:name w:val="EndNote Bibliography Title"/>
    <w:basedOn w:val="Normal"/>
    <w:rsid w:val="00C41D6A"/>
    <w:pPr>
      <w:jc w:val="center"/>
    </w:pPr>
    <w:rPr>
      <w:lang w:val="en-US" w:eastAsia="en-US"/>
    </w:rPr>
  </w:style>
  <w:style w:type="paragraph" w:customStyle="1" w:styleId="EndNoteBibliography">
    <w:name w:val="EndNote Bibliography"/>
    <w:basedOn w:val="Normal"/>
    <w:rsid w:val="00C41D6A"/>
    <w:pPr>
      <w:jc w:val="both"/>
    </w:pPr>
    <w:rPr>
      <w:lang w:val="en-US" w:eastAsia="en-US"/>
    </w:rPr>
  </w:style>
  <w:style w:type="paragraph" w:styleId="Header">
    <w:name w:val="header"/>
    <w:basedOn w:val="Normal"/>
    <w:link w:val="HeaderChar1"/>
    <w:uiPriority w:val="99"/>
    <w:rsid w:val="00C41D6A"/>
    <w:pPr>
      <w:tabs>
        <w:tab w:val="center" w:pos="4680"/>
        <w:tab w:val="right" w:pos="9360"/>
      </w:tabs>
    </w:pPr>
  </w:style>
  <w:style w:type="character" w:customStyle="1" w:styleId="HeaderChar1">
    <w:name w:val="Header Char1"/>
    <w:basedOn w:val="DefaultParagraphFont"/>
    <w:link w:val="Header"/>
    <w:uiPriority w:val="99"/>
    <w:rsid w:val="00C41D6A"/>
    <w:rPr>
      <w:rFonts w:ascii="Times New Roman" w:eastAsia="Times New Roman" w:hAnsi="Times New Roman" w:cs="Times New Roman"/>
      <w:sz w:val="24"/>
      <w:szCs w:val="20"/>
      <w:lang w:val="en-GB" w:eastAsia="zh-CN"/>
    </w:rPr>
  </w:style>
  <w:style w:type="paragraph" w:styleId="Footer">
    <w:name w:val="footer"/>
    <w:basedOn w:val="Normal"/>
    <w:link w:val="FooterChar1"/>
    <w:uiPriority w:val="99"/>
    <w:rsid w:val="00C41D6A"/>
    <w:pPr>
      <w:tabs>
        <w:tab w:val="center" w:pos="4680"/>
        <w:tab w:val="right" w:pos="9360"/>
      </w:tabs>
    </w:pPr>
  </w:style>
  <w:style w:type="character" w:customStyle="1" w:styleId="FooterChar1">
    <w:name w:val="Footer Char1"/>
    <w:basedOn w:val="DefaultParagraphFont"/>
    <w:link w:val="Footer"/>
    <w:uiPriority w:val="99"/>
    <w:rsid w:val="00C41D6A"/>
    <w:rPr>
      <w:rFonts w:ascii="Times New Roman" w:eastAsia="Times New Roman" w:hAnsi="Times New Roman" w:cs="Times New Roman"/>
      <w:sz w:val="24"/>
      <w:szCs w:val="20"/>
      <w:lang w:val="en-GB" w:eastAsia="zh-CN"/>
    </w:rPr>
  </w:style>
  <w:style w:type="character" w:customStyle="1" w:styleId="UnresolvedMention">
    <w:name w:val="Unresolved Mention"/>
    <w:uiPriority w:val="99"/>
    <w:semiHidden/>
    <w:unhideWhenUsed/>
    <w:rsid w:val="00C41D6A"/>
    <w:rPr>
      <w:color w:val="605E5C"/>
      <w:shd w:val="clear" w:color="auto" w:fill="E1DFDD"/>
    </w:rPr>
  </w:style>
  <w:style w:type="paragraph" w:styleId="ListParagraph">
    <w:name w:val="List Paragraph"/>
    <w:basedOn w:val="Normal"/>
    <w:uiPriority w:val="34"/>
    <w:qFormat/>
    <w:rsid w:val="00C41D6A"/>
    <w:pPr>
      <w:suppressAutoHyphens w:val="0"/>
      <w:spacing w:after="160" w:line="259" w:lineRule="auto"/>
      <w:ind w:left="720"/>
      <w:contextualSpacing/>
    </w:pPr>
    <w:rPr>
      <w:rFonts w:ascii="Calibri" w:eastAsia="Calibri" w:hAnsi="Calibri"/>
      <w:sz w:val="22"/>
      <w:szCs w:val="22"/>
      <w:lang w:val="en-US" w:eastAsia="en-US"/>
    </w:rPr>
  </w:style>
  <w:style w:type="paragraph" w:styleId="NormalWeb">
    <w:name w:val="Normal (Web)"/>
    <w:basedOn w:val="Normal"/>
    <w:uiPriority w:val="99"/>
    <w:unhideWhenUsed/>
    <w:rsid w:val="00C41D6A"/>
    <w:pPr>
      <w:suppressAutoHyphens w:val="0"/>
      <w:spacing w:before="100" w:beforeAutospacing="1" w:after="100" w:afterAutospacing="1"/>
    </w:pPr>
    <w:rPr>
      <w:szCs w:val="24"/>
      <w:lang w:val="en-US" w:eastAsia="en-US"/>
    </w:rPr>
  </w:style>
  <w:style w:type="character" w:styleId="Strong">
    <w:name w:val="Strong"/>
    <w:uiPriority w:val="22"/>
    <w:qFormat/>
    <w:rsid w:val="00C41D6A"/>
    <w:rPr>
      <w:b/>
      <w:bCs/>
    </w:rPr>
  </w:style>
  <w:style w:type="paragraph" w:customStyle="1" w:styleId="hy">
    <w:name w:val="hy"/>
    <w:basedOn w:val="Normal"/>
    <w:rsid w:val="00C41D6A"/>
    <w:pPr>
      <w:suppressAutoHyphens w:val="0"/>
      <w:spacing w:before="100" w:beforeAutospacing="1" w:after="100" w:afterAutospacing="1"/>
    </w:pPr>
    <w:rPr>
      <w:szCs w:val="24"/>
      <w:lang w:val="en-US" w:eastAsia="en-US"/>
    </w:rPr>
  </w:style>
  <w:style w:type="paragraph" w:customStyle="1" w:styleId="Default">
    <w:name w:val="Default"/>
    <w:rsid w:val="00C41D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C41D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1D6A"/>
    <w:rPr>
      <w:sz w:val="16"/>
      <w:szCs w:val="16"/>
    </w:rPr>
  </w:style>
  <w:style w:type="paragraph" w:styleId="CommentText">
    <w:name w:val="annotation text"/>
    <w:basedOn w:val="Normal"/>
    <w:link w:val="CommentTextChar"/>
    <w:uiPriority w:val="99"/>
    <w:semiHidden/>
    <w:unhideWhenUsed/>
    <w:rsid w:val="00C41D6A"/>
    <w:rPr>
      <w:sz w:val="20"/>
    </w:rPr>
  </w:style>
  <w:style w:type="character" w:customStyle="1" w:styleId="CommentTextChar">
    <w:name w:val="Comment Text Char"/>
    <w:basedOn w:val="DefaultParagraphFont"/>
    <w:link w:val="CommentText"/>
    <w:uiPriority w:val="99"/>
    <w:semiHidden/>
    <w:rsid w:val="00C41D6A"/>
    <w:rPr>
      <w:rFonts w:ascii="Times New Roman" w:eastAsia="Times New Roma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C41D6A"/>
    <w:rPr>
      <w:b/>
      <w:bCs/>
    </w:rPr>
  </w:style>
  <w:style w:type="character" w:customStyle="1" w:styleId="CommentSubjectChar">
    <w:name w:val="Comment Subject Char"/>
    <w:basedOn w:val="CommentTextChar"/>
    <w:link w:val="CommentSubject"/>
    <w:uiPriority w:val="99"/>
    <w:semiHidden/>
    <w:rsid w:val="00C41D6A"/>
    <w:rPr>
      <w:rFonts w:ascii="Times New Roman" w:eastAsia="Times New Roman" w:hAnsi="Times New Roman" w:cs="Times New Roman"/>
      <w:b/>
      <w:bCs/>
      <w:sz w:val="20"/>
      <w:szCs w:val="20"/>
      <w:lang w:val="en-GB" w:eastAsia="zh-CN"/>
    </w:rPr>
  </w:style>
  <w:style w:type="paragraph" w:styleId="BalloonText">
    <w:name w:val="Balloon Text"/>
    <w:basedOn w:val="Normal"/>
    <w:link w:val="BalloonTextChar"/>
    <w:uiPriority w:val="99"/>
    <w:semiHidden/>
    <w:unhideWhenUsed/>
    <w:rsid w:val="00C41D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D6A"/>
    <w:rPr>
      <w:rFonts w:ascii="Segoe UI" w:eastAsia="Times New Roman" w:hAnsi="Segoe UI" w:cs="Segoe UI"/>
      <w:sz w:val="18"/>
      <w:szCs w:val="18"/>
      <w:lang w:val="en-GB" w:eastAsia="zh-CN"/>
    </w:rPr>
  </w:style>
  <w:style w:type="character" w:styleId="FollowedHyperlink">
    <w:name w:val="FollowedHyperlink"/>
    <w:basedOn w:val="DefaultParagraphFont"/>
    <w:uiPriority w:val="99"/>
    <w:semiHidden/>
    <w:unhideWhenUsed/>
    <w:rsid w:val="00C41D6A"/>
    <w:rPr>
      <w:color w:val="954F72" w:themeColor="followedHyperlink"/>
      <w:u w:val="single"/>
    </w:rPr>
  </w:style>
  <w:style w:type="character" w:customStyle="1" w:styleId="Heading3Char">
    <w:name w:val="Heading 3 Char"/>
    <w:basedOn w:val="DefaultParagraphFont"/>
    <w:link w:val="Heading3"/>
    <w:uiPriority w:val="9"/>
    <w:semiHidden/>
    <w:rsid w:val="00195DAF"/>
    <w:rPr>
      <w:rFonts w:asciiTheme="majorHAnsi" w:eastAsiaTheme="majorEastAsia" w:hAnsiTheme="majorHAnsi" w:cstheme="majorBidi"/>
      <w:color w:val="1F4D78" w:themeColor="accent1" w:themeShade="7F"/>
      <w:sz w:val="24"/>
      <w:szCs w:val="24"/>
      <w:lang w:val="en-GB" w:eastAsia="zh-CN"/>
    </w:rPr>
  </w:style>
  <w:style w:type="character" w:customStyle="1" w:styleId="fontstyle01">
    <w:name w:val="fontstyle01"/>
    <w:rsid w:val="00195DAF"/>
    <w:rPr>
      <w:rFonts w:ascii="Times New Roman" w:hAnsi="Times New Roman" w:cs="Times New Roman" w:hint="default"/>
      <w:b/>
      <w:bCs/>
      <w:i w:val="0"/>
      <w:iCs w:val="0"/>
      <w:color w:val="000000"/>
      <w:sz w:val="22"/>
      <w:szCs w:val="22"/>
    </w:rPr>
  </w:style>
  <w:style w:type="character" w:customStyle="1" w:styleId="fontstyle11">
    <w:name w:val="fontstyle11"/>
    <w:rsid w:val="00195DAF"/>
    <w:rPr>
      <w:rFonts w:ascii="Times New Roman" w:hAnsi="Times New Roman" w:cs="Times New Roman" w:hint="default"/>
      <w:b w:val="0"/>
      <w:bCs w:val="0"/>
      <w:i w:val="0"/>
      <w:iCs w:val="0"/>
      <w:color w:val="000000"/>
      <w:sz w:val="24"/>
      <w:szCs w:val="24"/>
    </w:rPr>
  </w:style>
  <w:style w:type="paragraph" w:customStyle="1" w:styleId="AcadBodytxt">
    <w:name w:val="Acad Body txt"/>
    <w:basedOn w:val="Normal"/>
    <w:link w:val="AcadBodytxtChar"/>
    <w:qFormat/>
    <w:rsid w:val="000F1422"/>
    <w:pPr>
      <w:suppressAutoHyphens w:val="0"/>
      <w:autoSpaceDE w:val="0"/>
      <w:autoSpaceDN w:val="0"/>
      <w:adjustRightInd w:val="0"/>
      <w:spacing w:line="480" w:lineRule="auto"/>
      <w:jc w:val="both"/>
    </w:pPr>
    <w:rPr>
      <w:szCs w:val="24"/>
      <w:lang w:val="en-US" w:eastAsia="en-US"/>
    </w:rPr>
  </w:style>
  <w:style w:type="character" w:customStyle="1" w:styleId="AcadBodytxtChar">
    <w:name w:val="Acad Body txt Char"/>
    <w:link w:val="AcadBodytxt"/>
    <w:rsid w:val="000F1422"/>
    <w:rPr>
      <w:rFonts w:ascii="Times New Roman" w:eastAsia="Times New Roman" w:hAnsi="Times New Roman" w:cs="Times New Roman"/>
      <w:sz w:val="24"/>
      <w:szCs w:val="24"/>
    </w:rPr>
  </w:style>
  <w:style w:type="character" w:customStyle="1" w:styleId="selectable">
    <w:name w:val="selectable"/>
    <w:rsid w:val="006F4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22FA1-AEEA-470B-9585-37213C19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3478</Words>
  <Characters>19830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User2</cp:lastModifiedBy>
  <cp:revision>2</cp:revision>
  <cp:lastPrinted>2020-09-01T14:53:00Z</cp:lastPrinted>
  <dcterms:created xsi:type="dcterms:W3CDTF">2020-09-02T05:31:00Z</dcterms:created>
  <dcterms:modified xsi:type="dcterms:W3CDTF">2020-09-02T05:31:00Z</dcterms:modified>
</cp:coreProperties>
</file>