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A9" w:rsidRPr="001477A9" w:rsidRDefault="001477A9" w:rsidP="002500B9">
      <w:pPr>
        <w:pStyle w:val="NormalWeb"/>
        <w:jc w:val="center"/>
        <w:rPr>
          <w:b/>
          <w:sz w:val="48"/>
        </w:rPr>
      </w:pPr>
      <w:r w:rsidRPr="001477A9">
        <w:rPr>
          <w:b/>
          <w:sz w:val="48"/>
        </w:rPr>
        <w:t>Com</w:t>
      </w:r>
      <w:r>
        <w:rPr>
          <w:b/>
          <w:sz w:val="48"/>
        </w:rPr>
        <w:t xml:space="preserve">putational methods in Materials </w:t>
      </w:r>
      <w:r w:rsidRPr="001477A9">
        <w:rPr>
          <w:b/>
          <w:sz w:val="48"/>
        </w:rPr>
        <w:t>Science studies</w:t>
      </w:r>
    </w:p>
    <w:p w:rsidR="00102E44" w:rsidRDefault="00381B88" w:rsidP="00381B88">
      <w:pPr>
        <w:pStyle w:val="Title"/>
        <w:tabs>
          <w:tab w:val="left" w:pos="5025"/>
        </w:tabs>
        <w:spacing w:before="0"/>
        <w:jc w:val="left"/>
      </w:pPr>
      <w:r>
        <w:tab/>
      </w:r>
    </w:p>
    <w:p w:rsidR="00102E44" w:rsidRDefault="001477A9">
      <w:pPr>
        <w:pStyle w:val="AuthorName"/>
        <w:rPr>
          <w:vertAlign w:val="superscript"/>
        </w:rPr>
      </w:pPr>
      <w:r>
        <w:t>James</w:t>
      </w:r>
      <w:r w:rsidR="00102E44">
        <w:t xml:space="preserve"> </w:t>
      </w:r>
      <w:r>
        <w:t>SIFUNA</w:t>
      </w:r>
      <w:r w:rsidR="00102E44">
        <w:rPr>
          <w:vertAlign w:val="superscript"/>
        </w:rPr>
        <w:t>1</w:t>
      </w:r>
      <w:r w:rsidR="00102E44">
        <w:t xml:space="preserve">, </w:t>
      </w:r>
      <w:r>
        <w:t xml:space="preserve">George </w:t>
      </w:r>
      <w:r w:rsidRPr="001477A9">
        <w:t>AMOLO</w:t>
      </w:r>
      <w:r w:rsidRPr="001477A9">
        <w:rPr>
          <w:vertAlign w:val="superscript"/>
        </w:rPr>
        <w:t>1</w:t>
      </w:r>
      <w:r>
        <w:t>, George MANYALI</w:t>
      </w:r>
      <w:r w:rsidR="00102E44">
        <w:rPr>
          <w:vertAlign w:val="superscript"/>
        </w:rPr>
        <w:t xml:space="preserve">2 </w:t>
      </w:r>
    </w:p>
    <w:p w:rsidR="001477A9" w:rsidRDefault="001477A9">
      <w:pPr>
        <w:pStyle w:val="AuthorName"/>
        <w:rPr>
          <w:vertAlign w:val="superscript"/>
        </w:rPr>
      </w:pPr>
    </w:p>
    <w:p w:rsidR="00102E44" w:rsidRDefault="00102E44">
      <w:pPr>
        <w:pStyle w:val="AuthorAddresses"/>
      </w:pPr>
      <w:r>
        <w:rPr>
          <w:i w:val="0"/>
          <w:vertAlign w:val="superscript"/>
        </w:rPr>
        <w:t>1</w:t>
      </w:r>
      <w:r w:rsidR="001477A9">
        <w:t>The Technical University of Kenya</w:t>
      </w:r>
      <w:r>
        <w:t xml:space="preserve">, </w:t>
      </w:r>
      <w:r w:rsidR="00C53956">
        <w:t xml:space="preserve">P.O. Box </w:t>
      </w:r>
      <w:r w:rsidR="00C53956" w:rsidRPr="00557BA7">
        <w:t>52428</w:t>
      </w:r>
      <w:r w:rsidR="008C00C3" w:rsidRPr="00557BA7">
        <w:t xml:space="preserve"> - 00200</w:t>
      </w:r>
      <w:r w:rsidR="001477A9" w:rsidRPr="00557BA7">
        <w:t xml:space="preserve"> </w:t>
      </w:r>
      <w:r w:rsidR="001477A9">
        <w:t>Nairobi- Kenya</w:t>
      </w:r>
    </w:p>
    <w:p w:rsidR="00102E44" w:rsidRDefault="00102E44">
      <w:pPr>
        <w:pStyle w:val="AuthorAddresses"/>
      </w:pPr>
      <w:r>
        <w:t>Tel: +</w:t>
      </w:r>
      <w:r w:rsidR="00246A32">
        <w:t xml:space="preserve">254 </w:t>
      </w:r>
      <w:r w:rsidR="001477A9">
        <w:t>725 499 073</w:t>
      </w:r>
      <w:r>
        <w:t xml:space="preserve">, Email: </w:t>
      </w:r>
      <w:hyperlink r:id="rId8" w:history="1">
        <w:r w:rsidR="001477A9" w:rsidRPr="00421B70">
          <w:rPr>
            <w:rStyle w:val="Hyperlink"/>
          </w:rPr>
          <w:t>sifunajames@gmail.com</w:t>
        </w:r>
      </w:hyperlink>
      <w:r w:rsidR="001477A9">
        <w:t xml:space="preserve"> </w:t>
      </w:r>
      <w:r>
        <w:t xml:space="preserve"> </w:t>
      </w:r>
    </w:p>
    <w:p w:rsidR="004577D8" w:rsidRDefault="004577D8" w:rsidP="004577D8">
      <w:pPr>
        <w:pStyle w:val="AuthorAddresses"/>
      </w:pPr>
      <w:r>
        <w:t xml:space="preserve">Tel: +254 729 401 249, Email: </w:t>
      </w:r>
      <w:hyperlink r:id="rId9" w:history="1">
        <w:r w:rsidRPr="00421B70">
          <w:rPr>
            <w:rStyle w:val="Hyperlink"/>
          </w:rPr>
          <w:t>georgeamolo862@gmail.com</w:t>
        </w:r>
      </w:hyperlink>
      <w:r>
        <w:t xml:space="preserve"> </w:t>
      </w:r>
      <w:r w:rsidRPr="004577D8">
        <w:t xml:space="preserve"> </w:t>
      </w:r>
      <w:r>
        <w:t xml:space="preserve">   </w:t>
      </w:r>
    </w:p>
    <w:p w:rsidR="003D159A" w:rsidRDefault="00102E44" w:rsidP="001477A9">
      <w:pPr>
        <w:pStyle w:val="AuthorAddresses"/>
      </w:pPr>
      <w:r>
        <w:rPr>
          <w:i w:val="0"/>
          <w:vertAlign w:val="superscript"/>
        </w:rPr>
        <w:t>2</w:t>
      </w:r>
      <w:r w:rsidR="001477A9">
        <w:t xml:space="preserve">Masinde </w:t>
      </w:r>
      <w:proofErr w:type="spellStart"/>
      <w:r w:rsidR="001477A9">
        <w:t>Muliro</w:t>
      </w:r>
      <w:proofErr w:type="spellEnd"/>
      <w:r w:rsidR="001477A9">
        <w:t xml:space="preserve"> University of Science and Technology, </w:t>
      </w:r>
    </w:p>
    <w:p w:rsidR="00102E44" w:rsidRDefault="001477A9" w:rsidP="001477A9">
      <w:pPr>
        <w:pStyle w:val="AuthorAddresses"/>
      </w:pPr>
      <w:r>
        <w:t xml:space="preserve">P.O. Box </w:t>
      </w:r>
      <w:r w:rsidRPr="00557BA7">
        <w:t xml:space="preserve">190 </w:t>
      </w:r>
      <w:r w:rsidR="003D159A" w:rsidRPr="00557BA7">
        <w:t>-50100</w:t>
      </w:r>
      <w:r w:rsidRPr="00557BA7">
        <w:t xml:space="preserve"> </w:t>
      </w:r>
      <w:proofErr w:type="spellStart"/>
      <w:r>
        <w:t>Kakamega</w:t>
      </w:r>
      <w:proofErr w:type="spellEnd"/>
      <w:r>
        <w:t>- Kenya</w:t>
      </w:r>
      <w:r w:rsidR="00102E44">
        <w:t xml:space="preserve"> </w:t>
      </w:r>
    </w:p>
    <w:p w:rsidR="004577D8" w:rsidRDefault="004577D8" w:rsidP="001477A9">
      <w:pPr>
        <w:pStyle w:val="AuthorAddresses"/>
      </w:pPr>
      <w:r>
        <w:t xml:space="preserve">Tel: +254 708 838 421, Email: </w:t>
      </w:r>
      <w:hyperlink r:id="rId10" w:history="1">
        <w:r w:rsidRPr="00421B70">
          <w:rPr>
            <w:rStyle w:val="Hyperlink"/>
          </w:rPr>
          <w:t>georgemanyali@gmail.com</w:t>
        </w:r>
      </w:hyperlink>
      <w:r>
        <w:t xml:space="preserve"> </w:t>
      </w:r>
    </w:p>
    <w:p w:rsidR="008D2C40" w:rsidRDefault="008D2C40" w:rsidP="001477A9">
      <w:pPr>
        <w:pStyle w:val="AuthorAddresses"/>
      </w:pPr>
    </w:p>
    <w:p w:rsidR="00102E44" w:rsidRPr="008E50CC" w:rsidRDefault="00102E44">
      <w:pPr>
        <w:pStyle w:val="Abstract"/>
        <w:jc w:val="both"/>
      </w:pPr>
      <w:r>
        <w:rPr>
          <w:b/>
          <w:bCs/>
        </w:rPr>
        <w:t>Abstract</w:t>
      </w:r>
      <w:r w:rsidR="001477A9">
        <w:t xml:space="preserve">: Recent years have seen a great improvement in the field of density functional </w:t>
      </w:r>
      <w:r w:rsidR="002D5F44">
        <w:t xml:space="preserve">Theory (DFT) calculation of electronic </w:t>
      </w:r>
      <w:r w:rsidR="001477A9">
        <w:t>structure and properties of crystal</w:t>
      </w:r>
      <w:r w:rsidR="00410A59">
        <w:t xml:space="preserve">line materials. There are many reasons that explain the current </w:t>
      </w:r>
      <w:r w:rsidR="001477A9">
        <w:t>successful application of DFT to materials science</w:t>
      </w:r>
      <w:r w:rsidR="005F5E92">
        <w:t xml:space="preserve"> related problems: The super speed of</w:t>
      </w:r>
      <w:r w:rsidR="001477A9">
        <w:t xml:space="preserve"> computers, software impro</w:t>
      </w:r>
      <w:r w:rsidR="00F24893">
        <w:t>vements and theory advancement</w:t>
      </w:r>
      <w:r w:rsidR="00F24893" w:rsidRPr="008E50CC">
        <w:t xml:space="preserve">. </w:t>
      </w:r>
      <w:r w:rsidR="001477A9" w:rsidRPr="008E50CC">
        <w:t>Based on these three pillars, we the co</w:t>
      </w:r>
      <w:r w:rsidR="004A5044" w:rsidRPr="008E50CC">
        <w:t xml:space="preserve">mputing scientists </w:t>
      </w:r>
      <w:r w:rsidR="00BE14D7" w:rsidRPr="008E50CC">
        <w:t>were ab</w:t>
      </w:r>
      <w:r w:rsidR="001477A9" w:rsidRPr="008E50CC">
        <w:t>le to understand the</w:t>
      </w:r>
      <w:r w:rsidR="00E94CAC" w:rsidRPr="008E50CC">
        <w:t xml:space="preserve"> ground state</w:t>
      </w:r>
      <w:r w:rsidR="001477A9" w:rsidRPr="008E50CC">
        <w:t xml:space="preserve"> properties</w:t>
      </w:r>
      <w:r w:rsidR="00F24893" w:rsidRPr="008E50CC">
        <w:t xml:space="preserve"> of cubic scandium </w:t>
      </w:r>
      <w:proofErr w:type="spellStart"/>
      <w:r w:rsidR="00F24893" w:rsidRPr="008E50CC">
        <w:t>triflouride</w:t>
      </w:r>
      <w:proofErr w:type="spellEnd"/>
      <w:r w:rsidR="00BE14D7" w:rsidRPr="008E50CC">
        <w:t xml:space="preserve"> (</w:t>
      </w:r>
      <w:r w:rsidR="00BE14D7" w:rsidRPr="008E50CC">
        <w:t>ScF</w:t>
      </w:r>
      <w:r w:rsidR="00BE14D7" w:rsidRPr="008E50CC">
        <w:rPr>
          <w:vertAlign w:val="subscript"/>
        </w:rPr>
        <w:t>3</w:t>
      </w:r>
      <w:r w:rsidR="00BE14D7" w:rsidRPr="008E50CC">
        <w:t>)</w:t>
      </w:r>
      <w:r w:rsidR="00E94CAC" w:rsidRPr="008E50CC">
        <w:t xml:space="preserve"> and </w:t>
      </w:r>
      <w:r w:rsidR="00081397">
        <w:t>if need arises, we will</w:t>
      </w:r>
      <w:r w:rsidR="006A12DB" w:rsidRPr="008E50CC">
        <w:t xml:space="preserve"> </w:t>
      </w:r>
      <w:r w:rsidR="001477A9" w:rsidRPr="008E50CC">
        <w:t xml:space="preserve">also </w:t>
      </w:r>
      <w:r w:rsidR="00E94CAC" w:rsidRPr="008E50CC">
        <w:t xml:space="preserve">be </w:t>
      </w:r>
      <w:r w:rsidR="001477A9" w:rsidRPr="008E50CC">
        <w:t xml:space="preserve">able to explore the immense realm of the virtual materials. Indeed, high-throughput </w:t>
      </w:r>
      <w:r w:rsidR="00410A59" w:rsidRPr="008E50CC">
        <w:t>techniques for the search of novel</w:t>
      </w:r>
      <w:r w:rsidR="001477A9" w:rsidRPr="008E50CC">
        <w:t xml:space="preserve"> crys</w:t>
      </w:r>
      <w:r w:rsidR="005F5E92" w:rsidRPr="008E50CC">
        <w:t>tal structures and the determination</w:t>
      </w:r>
      <w:r w:rsidR="001477A9" w:rsidRPr="008E50CC">
        <w:t xml:space="preserve"> of band structure traits have become very popular in the field of c</w:t>
      </w:r>
      <w:r w:rsidR="004A5044" w:rsidRPr="008E50CC">
        <w:t xml:space="preserve">omputational materials science. </w:t>
      </w:r>
      <w:r w:rsidR="001477A9" w:rsidRPr="008E50CC">
        <w:t>Despite the</w:t>
      </w:r>
      <w:r w:rsidR="00C53956" w:rsidRPr="008E50CC">
        <w:t>se, many challenges are still</w:t>
      </w:r>
      <w:r w:rsidR="001477A9" w:rsidRPr="008E50CC">
        <w:t xml:space="preserve"> be</w:t>
      </w:r>
      <w:r w:rsidR="002D5F44" w:rsidRPr="008E50CC">
        <w:t>ing</w:t>
      </w:r>
      <w:r w:rsidR="001477A9" w:rsidRPr="008E50CC">
        <w:t xml:space="preserve"> faced. Common to all computational materials scientists is the unquenchable thirst for higher speed and better accuracy in DFT calculations. </w:t>
      </w:r>
      <w:r w:rsidR="001477A9">
        <w:t xml:space="preserve">This paper aims to present recent advances in the theory and computational methods in DFT calculation of materials as well as to highlight computational results on </w:t>
      </w:r>
      <w:r w:rsidR="00E2786A">
        <w:t xml:space="preserve">structural properties of </w:t>
      </w:r>
      <w:r w:rsidR="00BE14D7">
        <w:t>cubic ScF</w:t>
      </w:r>
      <w:r w:rsidR="00BE14D7" w:rsidRPr="00BE14D7">
        <w:rPr>
          <w:vertAlign w:val="subscript"/>
        </w:rPr>
        <w:t>3</w:t>
      </w:r>
      <w:r w:rsidR="001477A9">
        <w:t xml:space="preserve"> in comparison to experimental and other theoretical studies</w:t>
      </w:r>
      <w:r>
        <w:t>.</w:t>
      </w:r>
      <w:r w:rsidR="006A12DB">
        <w:t xml:space="preserve"> We employed DFT as implemented in the </w:t>
      </w:r>
      <w:r w:rsidR="006A12DB" w:rsidRPr="008E50CC">
        <w:t>Quantum ESPRESSO computer code</w:t>
      </w:r>
      <w:r w:rsidR="00F32EDC">
        <w:t>.</w:t>
      </w:r>
      <w:r w:rsidR="006A12DB" w:rsidRPr="008E50CC">
        <w:t xml:space="preserve"> The obtained lattice parameters of between 3.96</w:t>
      </w:r>
      <w:r w:rsidR="006A12DB" w:rsidRPr="008E50CC">
        <w:rPr>
          <w:rFonts w:eastAsia="Calibri"/>
        </w:rPr>
        <w:t>Å</w:t>
      </w:r>
      <w:r w:rsidR="006A12DB" w:rsidRPr="008E50CC">
        <w:rPr>
          <w:rFonts w:eastAsia="Calibri"/>
        </w:rPr>
        <w:t xml:space="preserve"> to 4.06</w:t>
      </w:r>
      <w:r w:rsidR="006A12DB" w:rsidRPr="008E50CC">
        <w:rPr>
          <w:rFonts w:eastAsia="Calibri"/>
        </w:rPr>
        <w:t>Å</w:t>
      </w:r>
      <w:r w:rsidR="006A12DB" w:rsidRPr="008E50CC">
        <w:rPr>
          <w:rFonts w:eastAsia="Calibri"/>
        </w:rPr>
        <w:t xml:space="preserve"> was in agreement with the experimental lattice parameter of </w:t>
      </w:r>
      <w:r w:rsidR="008E50CC" w:rsidRPr="008E50CC">
        <w:rPr>
          <w:rFonts w:eastAsia="Calibri"/>
        </w:rPr>
        <w:t>4.03</w:t>
      </w:r>
      <w:r w:rsidR="008E50CC" w:rsidRPr="008E50CC">
        <w:rPr>
          <w:rFonts w:eastAsia="Calibri"/>
        </w:rPr>
        <w:t>Å</w:t>
      </w:r>
      <w:r w:rsidR="008E50CC">
        <w:rPr>
          <w:rFonts w:eastAsia="Calibri"/>
        </w:rPr>
        <w:t xml:space="preserve">. </w:t>
      </w:r>
    </w:p>
    <w:p w:rsidR="00102E44" w:rsidRDefault="00102E44">
      <w:pPr>
        <w:pStyle w:val="Abstract"/>
        <w:jc w:val="both"/>
      </w:pPr>
      <w:proofErr w:type="spellStart"/>
      <w:r w:rsidRPr="008E50CC">
        <w:rPr>
          <w:b/>
          <w:bCs/>
        </w:rPr>
        <w:t>Keywords</w:t>
      </w:r>
      <w:proofErr w:type="spellEnd"/>
      <w:r>
        <w:rPr>
          <w:b/>
          <w:bCs/>
        </w:rPr>
        <w:t xml:space="preserve">: </w:t>
      </w:r>
      <w:r w:rsidR="004577D8">
        <w:t>DFT, materials science, computational methods</w:t>
      </w:r>
      <w:r>
        <w:t>.</w:t>
      </w:r>
    </w:p>
    <w:p w:rsidR="008D2C40" w:rsidRDefault="008D2C40">
      <w:pPr>
        <w:pStyle w:val="Abstract"/>
        <w:jc w:val="both"/>
      </w:pPr>
    </w:p>
    <w:p w:rsidR="00102E44" w:rsidRDefault="00581A83">
      <w:pPr>
        <w:pStyle w:val="Heading1"/>
      </w:pPr>
      <w:r>
        <w:t xml:space="preserve">1. </w:t>
      </w:r>
      <w:r w:rsidR="00A971C9">
        <w:t>M</w:t>
      </w:r>
      <w:r w:rsidR="00B325E4">
        <w:t>aterials s</w:t>
      </w:r>
      <w:r>
        <w:t xml:space="preserve">cience </w:t>
      </w:r>
    </w:p>
    <w:p w:rsidR="00243288" w:rsidRDefault="00C53956" w:rsidP="00243288">
      <w:pPr>
        <w:pStyle w:val="Paragraph1"/>
        <w:ind w:firstLine="720"/>
      </w:pPr>
      <w:r>
        <w:t>This is a prime field in</w:t>
      </w:r>
      <w:r w:rsidR="00773ED9">
        <w:t xml:space="preserve"> research that entails the study </w:t>
      </w:r>
      <w:r w:rsidR="00E54045">
        <w:t>of materials properties</w:t>
      </w:r>
      <w:r w:rsidR="00773ED9">
        <w:t xml:space="preserve"> </w:t>
      </w:r>
      <w:r w:rsidR="00E54045">
        <w:t>and how the</w:t>
      </w:r>
      <w:r w:rsidR="00773ED9">
        <w:t xml:space="preserve">se properties are determined by a material’s </w:t>
      </w:r>
      <w:r w:rsidR="00773ED9" w:rsidRPr="00E54045">
        <w:t>composition</w:t>
      </w:r>
      <w:r w:rsidR="006733B5">
        <w:t xml:space="preserve"> and structure. Materials science </w:t>
      </w:r>
      <w:r w:rsidR="00773ED9">
        <w:t xml:space="preserve">grew out of an </w:t>
      </w:r>
      <w:r w:rsidR="00773ED9" w:rsidRPr="00E54045">
        <w:t>amalgam</w:t>
      </w:r>
      <w:r w:rsidR="00773ED9">
        <w:t xml:space="preserve"> of </w:t>
      </w:r>
      <w:r w:rsidR="00E54045">
        <w:t xml:space="preserve">various fields like </w:t>
      </w:r>
      <w:r w:rsidR="00773ED9">
        <w:t xml:space="preserve">solid-state </w:t>
      </w:r>
      <w:r w:rsidR="00773ED9" w:rsidRPr="00E54045">
        <w:t>physics</w:t>
      </w:r>
      <w:r w:rsidR="00E54045">
        <w:t>, metallurgy</w:t>
      </w:r>
      <w:r w:rsidR="00773ED9">
        <w:t xml:space="preserve"> and </w:t>
      </w:r>
      <w:r w:rsidR="00773ED9" w:rsidRPr="00E54045">
        <w:t>chemistry</w:t>
      </w:r>
      <w:r w:rsidR="00E54045">
        <w:t xml:space="preserve"> just but a few</w:t>
      </w:r>
      <w:r w:rsidR="007F19D3">
        <w:rPr>
          <w:noProof/>
          <w:lang w:val="en-US"/>
        </w:rPr>
        <w:t xml:space="preserve"> </w:t>
      </w:r>
      <w:r w:rsidR="007F19D3" w:rsidRPr="007F19D3">
        <w:rPr>
          <w:noProof/>
          <w:lang w:val="en-US"/>
        </w:rPr>
        <w:t>(Ohring, 2001)</w:t>
      </w:r>
      <w:r w:rsidR="00E54045">
        <w:t>. The reas</w:t>
      </w:r>
      <w:r w:rsidR="00BD6B22">
        <w:t>on for this fusion of fields is due to the fact that</w:t>
      </w:r>
      <w:r w:rsidR="00773ED9">
        <w:t xml:space="preserve"> the rich variety of materials properties cannot be understood within the </w:t>
      </w:r>
      <w:r w:rsidR="00773ED9" w:rsidRPr="00E54045">
        <w:t>context</w:t>
      </w:r>
      <w:r w:rsidR="0062099E">
        <w:t xml:space="preserve"> of any </w:t>
      </w:r>
      <w:r w:rsidR="00FC2AB9">
        <w:t>single discipline</w:t>
      </w:r>
      <w:r w:rsidR="00773ED9">
        <w:t>. With a basic understanding of the origins of properties, mater</w:t>
      </w:r>
      <w:r w:rsidR="00BD6B22">
        <w:t>ials can be selected and tuned for</w:t>
      </w:r>
      <w:r w:rsidR="00773ED9">
        <w:t xml:space="preserve"> enormous variety of applications, ranging from structural steels to computer microchips</w:t>
      </w:r>
      <w:r w:rsidR="000F7C06">
        <w:rPr>
          <w:noProof/>
          <w:lang w:val="en-US"/>
        </w:rPr>
        <w:t xml:space="preserve"> </w:t>
      </w:r>
      <w:r w:rsidR="003C112B">
        <w:rPr>
          <w:noProof/>
          <w:lang w:val="en-US"/>
        </w:rPr>
        <w:t>(Gandhi</w:t>
      </w:r>
      <w:r w:rsidR="000F7C06">
        <w:rPr>
          <w:noProof/>
          <w:lang w:val="en-US"/>
        </w:rPr>
        <w:t xml:space="preserve"> &amp; Thompson</w:t>
      </w:r>
      <w:r w:rsidR="000F7C06" w:rsidRPr="000F7C06">
        <w:rPr>
          <w:noProof/>
          <w:lang w:val="en-US"/>
        </w:rPr>
        <w:t>, 1992)</w:t>
      </w:r>
      <w:r w:rsidR="00773ED9">
        <w:t>. Material</w:t>
      </w:r>
      <w:r w:rsidR="000D6D47">
        <w:t>s science is</w:t>
      </w:r>
      <w:r w:rsidR="00E54045">
        <w:t xml:space="preserve"> fertile in </w:t>
      </w:r>
      <w:r w:rsidR="00773ED9" w:rsidRPr="00E54045">
        <w:t>engineering</w:t>
      </w:r>
      <w:r w:rsidR="000D6D47">
        <w:t xml:space="preserve"> activities such as electronics and</w:t>
      </w:r>
      <w:r w:rsidR="00773ED9">
        <w:t xml:space="preserve"> energy conversion</w:t>
      </w:r>
      <w:r w:rsidR="000D6D47">
        <w:t xml:space="preserve"> among others</w:t>
      </w:r>
      <w:r w:rsidR="00773ED9">
        <w:t>.</w:t>
      </w:r>
      <w:r w:rsidR="00823313">
        <w:t xml:space="preserve"> </w:t>
      </w:r>
      <w:r w:rsidR="006461C9">
        <w:t xml:space="preserve">The many materials we study </w:t>
      </w:r>
      <w:r w:rsidR="00703154" w:rsidRPr="004A10C4">
        <w:t>and to which materials science is applied</w:t>
      </w:r>
      <w:r w:rsidR="005818FF">
        <w:t>,</w:t>
      </w:r>
      <w:r w:rsidR="00823313">
        <w:t xml:space="preserve"> are usually divided into four categories: metals, polymers, semiconductors, and ceramics</w:t>
      </w:r>
      <w:r w:rsidR="00A77ADA">
        <w:rPr>
          <w:noProof/>
          <w:lang w:val="en-US"/>
        </w:rPr>
        <w:t xml:space="preserve"> (Callister &amp; Rethwisch</w:t>
      </w:r>
      <w:r w:rsidR="00A77ADA" w:rsidRPr="00A77ADA">
        <w:rPr>
          <w:noProof/>
          <w:lang w:val="en-US"/>
        </w:rPr>
        <w:t>, 2012)</w:t>
      </w:r>
      <w:r w:rsidR="00823313">
        <w:t>.</w:t>
      </w:r>
      <w:r w:rsidR="00EB7083">
        <w:t xml:space="preserve"> </w:t>
      </w:r>
      <w:r w:rsidR="00D27FCA">
        <w:t>The advancement in q</w:t>
      </w:r>
      <w:r w:rsidR="00EB7083">
        <w:t>uantum mecha</w:t>
      </w:r>
      <w:r w:rsidR="0074490E">
        <w:t xml:space="preserve">nics has given </w:t>
      </w:r>
      <w:r w:rsidR="00D27FCA">
        <w:t>us a c</w:t>
      </w:r>
      <w:r w:rsidR="0074490E">
        <w:t xml:space="preserve">lear view of the </w:t>
      </w:r>
      <w:proofErr w:type="spellStart"/>
      <w:r w:rsidR="0074490E">
        <w:t>behavior</w:t>
      </w:r>
      <w:proofErr w:type="spellEnd"/>
      <w:r w:rsidR="0074490E">
        <w:t xml:space="preserve"> of matter and </w:t>
      </w:r>
      <w:r w:rsidR="00D27FCA">
        <w:t xml:space="preserve">also </w:t>
      </w:r>
      <w:r w:rsidR="0074490E">
        <w:t xml:space="preserve">the </w:t>
      </w:r>
      <w:r w:rsidR="00EB7083">
        <w:t xml:space="preserve">ability to guide investigation with theory. </w:t>
      </w:r>
      <w:r>
        <w:t xml:space="preserve">Two factors are to be applauded in relation to </w:t>
      </w:r>
      <w:r>
        <w:lastRenderedPageBreak/>
        <w:t>computational materials science. The first factor is the</w:t>
      </w:r>
      <w:r w:rsidR="00EB7083">
        <w:t xml:space="preserve"> exponential growth </w:t>
      </w:r>
      <w:r>
        <w:t>of computer-processing power. Secondly</w:t>
      </w:r>
      <w:r w:rsidR="0028657D">
        <w:t xml:space="preserve">, the </w:t>
      </w:r>
      <w:r w:rsidR="00D27FCA">
        <w:t>combined effort of Walter Kohn and</w:t>
      </w:r>
      <w:r w:rsidR="00EB7083">
        <w:t xml:space="preserve"> John </w:t>
      </w:r>
      <w:proofErr w:type="spellStart"/>
      <w:r w:rsidR="00EB7083">
        <w:t>Pople</w:t>
      </w:r>
      <w:proofErr w:type="spellEnd"/>
      <w:r w:rsidR="00EB7083">
        <w:t>, who developed simplified but accurate solutions to the equ</w:t>
      </w:r>
      <w:r w:rsidR="00B1663B">
        <w:t>ations of quantum mechanics</w:t>
      </w:r>
      <w:r w:rsidR="005A75A9">
        <w:t xml:space="preserve"> </w:t>
      </w:r>
      <w:r w:rsidR="005A75A9" w:rsidRPr="005A75A9">
        <w:rPr>
          <w:noProof/>
          <w:lang w:val="en-US"/>
        </w:rPr>
        <w:t>(Kohn</w:t>
      </w:r>
      <w:r w:rsidR="005A75A9">
        <w:rPr>
          <w:noProof/>
          <w:lang w:val="en-US"/>
        </w:rPr>
        <w:t xml:space="preserve"> </w:t>
      </w:r>
      <w:r w:rsidR="005A75A9" w:rsidRPr="005A75A9">
        <w:rPr>
          <w:i/>
          <w:noProof/>
          <w:lang w:val="en-US"/>
        </w:rPr>
        <w:t>et al</w:t>
      </w:r>
      <w:r w:rsidR="005A75A9" w:rsidRPr="005A75A9">
        <w:rPr>
          <w:noProof/>
          <w:lang w:val="en-US"/>
        </w:rPr>
        <w:t>, 1996)</w:t>
      </w:r>
      <w:r w:rsidR="00B1663B">
        <w:t>. The above factors</w:t>
      </w:r>
      <w:r w:rsidR="00EB7083">
        <w:t xml:space="preserve"> </w:t>
      </w:r>
      <w:r w:rsidR="00B1663B">
        <w:t xml:space="preserve">have </w:t>
      </w:r>
      <w:r w:rsidR="00EB7083">
        <w:t>made it possible to design new materials from scratch using sup</w:t>
      </w:r>
      <w:r w:rsidR="0072123F">
        <w:t>ercomputers and density functional theory.</w:t>
      </w:r>
    </w:p>
    <w:p w:rsidR="00102E44" w:rsidRDefault="00EB7083" w:rsidP="0025161C">
      <w:pPr>
        <w:pStyle w:val="Paragraph1"/>
      </w:pPr>
      <w:r>
        <w:t xml:space="preserve"> </w:t>
      </w:r>
      <w:r w:rsidR="00243288">
        <w:tab/>
        <w:t>The approach above</w:t>
      </w:r>
      <w:r>
        <w:t xml:space="preserve"> is called high-throughput computational materials design, and the idea is simple: use supercomputers to virtually study hundreds or thousands of chemical compounds at a time,</w:t>
      </w:r>
      <w:r w:rsidR="00F22D98">
        <w:t xml:space="preserve"> quickly and searching</w:t>
      </w:r>
      <w:r>
        <w:t xml:space="preserve"> for the best building blocks for a new material, be it a battery electrode, a metal alloy or a new type of semiconductor.</w:t>
      </w:r>
      <w:r w:rsidR="00416F5A">
        <w:t xml:space="preserve"> Recently we have seen many serious predictions such that we are</w:t>
      </w:r>
      <w:r w:rsidR="00B42CE2">
        <w:t xml:space="preserve"> nearing the end of Moore's law</w:t>
      </w:r>
      <w:r w:rsidR="005A75A9">
        <w:rPr>
          <w:noProof/>
          <w:lang w:val="en-US"/>
        </w:rPr>
        <w:t xml:space="preserve"> </w:t>
      </w:r>
      <w:r w:rsidR="005A75A9" w:rsidRPr="005A75A9">
        <w:rPr>
          <w:noProof/>
          <w:lang w:val="en-US"/>
        </w:rPr>
        <w:t>(Joy, 2000)</w:t>
      </w:r>
      <w:r w:rsidR="00B42CE2">
        <w:t xml:space="preserve">. </w:t>
      </w:r>
      <w:r w:rsidR="00232AF6">
        <w:t>Computational methods involve</w:t>
      </w:r>
      <w:r w:rsidR="00EA4D13">
        <w:t xml:space="preserve"> simulating</w:t>
      </w:r>
      <w:r w:rsidR="00F22D98">
        <w:t xml:space="preserve"> materials at all sizes; from nanowires to bulk </w:t>
      </w:r>
      <w:r w:rsidR="0072464B" w:rsidRPr="0018738D">
        <w:t>materials</w:t>
      </w:r>
      <w:r w:rsidR="00F22D98">
        <w:t>,</w:t>
      </w:r>
      <w:r w:rsidR="00EA4D13">
        <w:t xml:space="preserve"> using methods such as </w:t>
      </w:r>
      <w:r w:rsidR="00EA4D13" w:rsidRPr="0025161C">
        <w:t>density functional theory</w:t>
      </w:r>
      <w:r w:rsidR="00232AF6">
        <w:t xml:space="preserve"> and </w:t>
      </w:r>
      <w:r w:rsidR="00EA4D13" w:rsidRPr="0025161C">
        <w:t>molecular dynamics</w:t>
      </w:r>
      <w:r w:rsidR="0072464B" w:rsidRPr="0018738D">
        <w:t>,</w:t>
      </w:r>
      <w:r w:rsidR="00232AF6" w:rsidRPr="0018738D">
        <w:t xml:space="preserve"> among </w:t>
      </w:r>
      <w:r w:rsidR="0072464B" w:rsidRPr="006D0ED2">
        <w:t>others</w:t>
      </w:r>
      <w:r w:rsidR="00232AF6" w:rsidRPr="006D0ED2">
        <w:t>.</w:t>
      </w:r>
      <w:r w:rsidR="00C625DD">
        <w:t xml:space="preserve"> In this paper, we will give a focus on density functional theory.</w:t>
      </w:r>
    </w:p>
    <w:p w:rsidR="00102E44" w:rsidRPr="00E540B2" w:rsidRDefault="00B325E4">
      <w:pPr>
        <w:pStyle w:val="Heading2"/>
        <w:numPr>
          <w:ilvl w:val="1"/>
          <w:numId w:val="1"/>
        </w:numPr>
        <w:rPr>
          <w:b/>
        </w:rPr>
      </w:pPr>
      <w:r w:rsidRPr="00E540B2">
        <w:rPr>
          <w:b/>
        </w:rPr>
        <w:t>– Density functional theory (DFT)</w:t>
      </w:r>
    </w:p>
    <w:p w:rsidR="00DD64F3" w:rsidRDefault="00B325E4">
      <w:pPr>
        <w:pStyle w:val="Paragraph1"/>
      </w:pPr>
      <w:r>
        <w:t xml:space="preserve">The application of density functional theory calculations is </w:t>
      </w:r>
      <w:r w:rsidR="0051553E">
        <w:t>rapidly</w:t>
      </w:r>
      <w:r>
        <w:t xml:space="preserve"> becoming a standard tool for diverse materials modelling problems in materials science</w:t>
      </w:r>
      <w:r w:rsidR="009B2C05">
        <w:rPr>
          <w:noProof/>
          <w:lang w:val="en-US"/>
        </w:rPr>
        <w:t xml:space="preserve"> (Sholl &amp; Steckel</w:t>
      </w:r>
      <w:r w:rsidR="009B2C05" w:rsidRPr="009B2C05">
        <w:rPr>
          <w:noProof/>
          <w:lang w:val="en-US"/>
        </w:rPr>
        <w:t>, 2001)</w:t>
      </w:r>
      <w:r>
        <w:t>.</w:t>
      </w:r>
      <w:r w:rsidR="00BB39DF">
        <w:t xml:space="preserve"> This </w:t>
      </w:r>
      <w:r w:rsidR="00633B53">
        <w:t xml:space="preserve">is </w:t>
      </w:r>
      <w:r w:rsidR="00BB39DF">
        <w:t>because DFT is a phenomenally successful approach to finding solutions to the fundamental equation that describes the quantum behaviour of atoms and molecules</w:t>
      </w:r>
      <w:r w:rsidR="006E606C">
        <w:t xml:space="preserve">. The entire application </w:t>
      </w:r>
      <w:r w:rsidR="00585A43">
        <w:t>of DFT is built</w:t>
      </w:r>
      <w:r w:rsidR="00633B53">
        <w:t xml:space="preserve"> on two fundamental mathematical theorems </w:t>
      </w:r>
      <w:r w:rsidR="00585A43">
        <w:t xml:space="preserve">illustrated </w:t>
      </w:r>
      <w:r w:rsidR="00633B53">
        <w:t xml:space="preserve">by Kohn and </w:t>
      </w:r>
      <w:proofErr w:type="spellStart"/>
      <w:r w:rsidR="00633B53">
        <w:t>Hohenberg</w:t>
      </w:r>
      <w:proofErr w:type="spellEnd"/>
      <w:r w:rsidR="00633B53">
        <w:t xml:space="preserve"> and the derivation of a set of equations by Kohn and Sham in th</w:t>
      </w:r>
      <w:r w:rsidR="00A535C3">
        <w:t>e mid-1960s</w:t>
      </w:r>
      <w:r w:rsidR="00A25B54">
        <w:rPr>
          <w:noProof/>
          <w:lang w:val="en-US"/>
        </w:rPr>
        <w:t xml:space="preserve"> </w:t>
      </w:r>
      <w:r w:rsidR="00A25B54" w:rsidRPr="00A25B54">
        <w:rPr>
          <w:noProof/>
          <w:lang w:val="en-US"/>
        </w:rPr>
        <w:t>(C</w:t>
      </w:r>
      <w:r w:rsidR="000A1710">
        <w:rPr>
          <w:noProof/>
          <w:lang w:val="en-US"/>
        </w:rPr>
        <w:t>asida &amp;</w:t>
      </w:r>
      <w:r w:rsidR="00F50ED1">
        <w:rPr>
          <w:noProof/>
          <w:lang w:val="en-US"/>
        </w:rPr>
        <w:t xml:space="preserve"> </w:t>
      </w:r>
      <w:r w:rsidR="00A25B54">
        <w:rPr>
          <w:noProof/>
          <w:lang w:val="en-US"/>
        </w:rPr>
        <w:t>Huix-Rotllant</w:t>
      </w:r>
      <w:r w:rsidR="00205633">
        <w:rPr>
          <w:noProof/>
          <w:lang w:val="en-US"/>
        </w:rPr>
        <w:t>, 2</w:t>
      </w:r>
      <w:r w:rsidR="00A25B54" w:rsidRPr="00A25B54">
        <w:rPr>
          <w:noProof/>
          <w:lang w:val="en-US"/>
        </w:rPr>
        <w:t>012)</w:t>
      </w:r>
      <w:r w:rsidR="00A535C3">
        <w:t xml:space="preserve">. The first theorem proved by </w:t>
      </w:r>
      <w:proofErr w:type="spellStart"/>
      <w:r w:rsidR="00A535C3">
        <w:t>Hohenberg</w:t>
      </w:r>
      <w:proofErr w:type="spellEnd"/>
      <w:r w:rsidR="00A535C3">
        <w:t xml:space="preserve"> and Kohn</w:t>
      </w:r>
      <w:r w:rsidR="00633B53">
        <w:t xml:space="preserve"> is: </w:t>
      </w:r>
      <w:r w:rsidR="00633B53" w:rsidRPr="00633B53">
        <w:rPr>
          <w:i/>
        </w:rPr>
        <w:t>The grou</w:t>
      </w:r>
      <w:r w:rsidR="006B4629">
        <w:rPr>
          <w:i/>
        </w:rPr>
        <w:t xml:space="preserve">nd-state energy from </w:t>
      </w:r>
      <w:r w:rsidR="006B4629">
        <w:t>Schrödinger</w:t>
      </w:r>
      <w:r w:rsidR="00633B53" w:rsidRPr="00633B53">
        <w:rPr>
          <w:i/>
        </w:rPr>
        <w:t>’s equation is a unique functional of the electron density</w:t>
      </w:r>
      <w:r w:rsidR="00605C65">
        <w:rPr>
          <w:i/>
          <w:noProof/>
          <w:lang w:val="en-US"/>
        </w:rPr>
        <w:t xml:space="preserve"> </w:t>
      </w:r>
      <w:r w:rsidR="0000234F">
        <w:rPr>
          <w:noProof/>
          <w:lang w:val="en-US"/>
        </w:rPr>
        <w:t>(Hohenberg, &amp; Kohn,</w:t>
      </w:r>
      <w:r w:rsidR="00605C65" w:rsidRPr="00605C65">
        <w:rPr>
          <w:noProof/>
          <w:lang w:val="en-US"/>
        </w:rPr>
        <w:t xml:space="preserve"> 1964)</w:t>
      </w:r>
      <w:r w:rsidR="00633B53">
        <w:t>. This theorem implies that there is a mapping between the ground-state wave function and the ground-state electron density.</w:t>
      </w:r>
      <w:r w:rsidR="005E28A0">
        <w:t xml:space="preserve"> In this first theorem, we learn that the ground state electron density uniquely determines all properties in a system including the energy and the wave function of the ground state. Although </w:t>
      </w:r>
      <w:proofErr w:type="spellStart"/>
      <w:r w:rsidR="005E28A0">
        <w:t>Hohenberg</w:t>
      </w:r>
      <w:proofErr w:type="spellEnd"/>
      <w:r w:rsidR="005E28A0">
        <w:t xml:space="preserve">-Kohn theorem rigorously proves that a functional of the electron density exists and that it can </w:t>
      </w:r>
      <w:r w:rsidR="006B4629">
        <w:t>be used to solve the Schrödinger</w:t>
      </w:r>
      <w:r w:rsidR="005E28A0">
        <w:t xml:space="preserve"> equation, </w:t>
      </w:r>
      <w:r w:rsidR="005E28A0" w:rsidRPr="002D10E5">
        <w:t>the theore</w:t>
      </w:r>
      <w:r w:rsidR="002D10E5" w:rsidRPr="002D10E5">
        <w:t>m</w:t>
      </w:r>
      <w:r w:rsidR="005E28A0" w:rsidRPr="002D10E5">
        <w:t xml:space="preserve"> </w:t>
      </w:r>
      <w:r w:rsidR="005E28A0">
        <w:t xml:space="preserve">say nothing about what the functional actually </w:t>
      </w:r>
      <w:r w:rsidR="00F868CB">
        <w:t xml:space="preserve">is </w:t>
      </w:r>
      <w:r w:rsidR="00F868CB">
        <w:rPr>
          <w:noProof/>
          <w:lang w:val="en-US"/>
        </w:rPr>
        <w:t>(</w:t>
      </w:r>
      <w:r w:rsidR="00553EAF">
        <w:rPr>
          <w:noProof/>
          <w:lang w:val="en-US"/>
        </w:rPr>
        <w:t>Sholl, &amp; Steckel</w:t>
      </w:r>
      <w:r w:rsidR="00553EAF" w:rsidRPr="00553EAF">
        <w:rPr>
          <w:noProof/>
          <w:lang w:val="en-US"/>
        </w:rPr>
        <w:t>, 2001)</w:t>
      </w:r>
      <w:r w:rsidR="005E28A0">
        <w:t>.</w:t>
      </w:r>
      <w:r w:rsidR="00DD64F3">
        <w:t xml:space="preserve"> </w:t>
      </w:r>
    </w:p>
    <w:p w:rsidR="00102E44" w:rsidRDefault="00DD64F3">
      <w:pPr>
        <w:pStyle w:val="Paragraph1"/>
      </w:pPr>
      <w:r>
        <w:t xml:space="preserve">The second </w:t>
      </w:r>
      <w:proofErr w:type="spellStart"/>
      <w:r>
        <w:t>Hohenberg</w:t>
      </w:r>
      <w:proofErr w:type="spellEnd"/>
      <w:r>
        <w:t xml:space="preserve">-Kohn theorem defines an important </w:t>
      </w:r>
      <w:r w:rsidR="00761E3F">
        <w:t xml:space="preserve">property of the functional: </w:t>
      </w:r>
      <w:r w:rsidR="00761E3F" w:rsidRPr="00C925D1">
        <w:rPr>
          <w:i/>
        </w:rPr>
        <w:t xml:space="preserve">The electron density that minimises the energy of the overall functional is the true electron </w:t>
      </w:r>
      <w:r w:rsidR="00C925D1" w:rsidRPr="00C925D1">
        <w:rPr>
          <w:i/>
        </w:rPr>
        <w:t>density</w:t>
      </w:r>
      <w:r w:rsidR="00761E3F" w:rsidRPr="00C925D1">
        <w:rPr>
          <w:i/>
        </w:rPr>
        <w:t xml:space="preserve"> corresponding to the full solutio</w:t>
      </w:r>
      <w:r w:rsidR="006B4629">
        <w:rPr>
          <w:i/>
        </w:rPr>
        <w:t xml:space="preserve">n of the </w:t>
      </w:r>
      <w:r w:rsidR="006B4629" w:rsidRPr="006B4629">
        <w:rPr>
          <w:i/>
        </w:rPr>
        <w:t>Schrödinger</w:t>
      </w:r>
      <w:r w:rsidR="00C925D1" w:rsidRPr="00C925D1">
        <w:rPr>
          <w:i/>
        </w:rPr>
        <w:t xml:space="preserve"> equation</w:t>
      </w:r>
      <w:r w:rsidR="00572028">
        <w:rPr>
          <w:i/>
          <w:noProof/>
          <w:lang w:val="en-US"/>
        </w:rPr>
        <w:t xml:space="preserve"> </w:t>
      </w:r>
      <w:r w:rsidR="00572028" w:rsidRPr="00572028">
        <w:rPr>
          <w:noProof/>
          <w:lang w:val="en-US"/>
        </w:rPr>
        <w:t>(Kohn, 1999)</w:t>
      </w:r>
      <w:r w:rsidR="00C925D1">
        <w:t>. Let i</w:t>
      </w:r>
      <w:r w:rsidR="00761E3F">
        <w:t>t be k</w:t>
      </w:r>
      <w:r w:rsidR="004D7C4D">
        <w:t>nown that from the second theorem</w:t>
      </w:r>
      <w:r w:rsidR="00761E3F">
        <w:t xml:space="preserve">, if the ‘true’ functional </w:t>
      </w:r>
      <w:r w:rsidR="006B4629">
        <w:t xml:space="preserve">were known, </w:t>
      </w:r>
      <w:r w:rsidR="00761E3F">
        <w:t>the</w:t>
      </w:r>
      <w:r w:rsidR="00EB339D">
        <w:t>n</w:t>
      </w:r>
      <w:r w:rsidR="00761E3F">
        <w:t xml:space="preserve"> we could vary the electron density until the energy from the functional is minimised.</w:t>
      </w:r>
      <w:r w:rsidR="00F54781">
        <w:t xml:space="preserve"> This variation principle is used in practice with approximate forms of the functional.</w:t>
      </w:r>
      <w:r w:rsidR="00C925D1">
        <w:t xml:space="preserve"> A more precise way to write down the </w:t>
      </w:r>
      <w:r w:rsidR="006F56A1">
        <w:t>energy functional</w:t>
      </w:r>
      <w:r w:rsidR="00C925D1">
        <w:t xml:space="preserve"> </w:t>
      </w:r>
      <w:r w:rsidR="00EB339D">
        <w:t xml:space="preserve">as </w:t>
      </w:r>
      <w:r w:rsidR="00C925D1">
        <w:t>described by t</w:t>
      </w:r>
      <w:r w:rsidR="006F56A1">
        <w:t xml:space="preserve">he </w:t>
      </w:r>
      <w:proofErr w:type="spellStart"/>
      <w:r w:rsidR="006F56A1">
        <w:t>Hohenberg</w:t>
      </w:r>
      <w:proofErr w:type="spellEnd"/>
      <w:r w:rsidR="006F56A1">
        <w:t xml:space="preserve">-Kohn </w:t>
      </w:r>
      <w:r w:rsidR="003315F7">
        <w:t xml:space="preserve">second </w:t>
      </w:r>
      <w:r w:rsidR="006F56A1">
        <w:t>theorem is</w:t>
      </w:r>
    </w:p>
    <w:p w:rsidR="006F56A1" w:rsidRDefault="003853DF">
      <w:pPr>
        <w:pStyle w:val="Paragraph1"/>
      </w:pPr>
      <w:r w:rsidRPr="00EB339D">
        <w:rPr>
          <w:position w:val="-12"/>
        </w:rPr>
        <w:object w:dxaOrig="8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11" o:title=""/>
          </v:shape>
          <o:OLEObject Type="Embed" ProgID="Equation.3" ShapeID="_x0000_i1025" DrawAspect="Content" ObjectID="_1597226027" r:id="rId12"/>
        </w:object>
      </w:r>
    </w:p>
    <w:p w:rsidR="00C76DBF" w:rsidRDefault="00EB339D">
      <w:pPr>
        <w:pStyle w:val="Paragraph1"/>
      </w:pPr>
      <w:r>
        <w:t xml:space="preserve">Here, the functional has been split into two, </w:t>
      </w:r>
      <w:proofErr w:type="gramStart"/>
      <w:r>
        <w:t xml:space="preserve">the </w:t>
      </w:r>
      <w:proofErr w:type="gramEnd"/>
      <w:r w:rsidRPr="00881B67">
        <w:rPr>
          <w:position w:val="-12"/>
        </w:rPr>
        <w:object w:dxaOrig="1200" w:dyaOrig="360">
          <v:shape id="_x0000_i1026" type="#_x0000_t75" style="width:60pt;height:18pt" o:ole="">
            <v:imagedata r:id="rId13" o:title=""/>
          </v:shape>
          <o:OLEObject Type="Embed" ProgID="Equation.3" ShapeID="_x0000_i1026" DrawAspect="Content" ObjectID="_1597226028" r:id="rId14"/>
        </w:object>
      </w:r>
      <w:r>
        <w:t xml:space="preserve">, and everything else, </w:t>
      </w:r>
      <w:r w:rsidRPr="00881B67">
        <w:rPr>
          <w:position w:val="-12"/>
        </w:rPr>
        <w:object w:dxaOrig="440" w:dyaOrig="360">
          <v:shape id="_x0000_i1027" type="#_x0000_t75" style="width:21.75pt;height:18pt" o:ole="">
            <v:imagedata r:id="rId15" o:title=""/>
          </v:shape>
          <o:OLEObject Type="Embed" ProgID="Equation.3" ShapeID="_x0000_i1027" DrawAspect="Content" ObjectID="_1597226029" r:id="rId16"/>
        </w:object>
      </w:r>
      <w:r>
        <w:t>. The “known” term include the following</w:t>
      </w:r>
    </w:p>
    <w:p w:rsidR="00C76DBF" w:rsidRDefault="00523657">
      <w:pPr>
        <w:pStyle w:val="Paragraph1"/>
      </w:pPr>
      <w:r w:rsidRPr="002710F0">
        <w:rPr>
          <w:position w:val="-32"/>
        </w:rPr>
        <w:object w:dxaOrig="8779" w:dyaOrig="740">
          <v:shape id="_x0000_i1028" type="#_x0000_t75" style="width:438.95pt;height:36.75pt" o:ole="">
            <v:imagedata r:id="rId17" o:title=""/>
          </v:shape>
          <o:OLEObject Type="Embed" ProgID="Equation.3" ShapeID="_x0000_i1028" DrawAspect="Content" ObjectID="_1597226030" r:id="rId18"/>
        </w:object>
      </w:r>
    </w:p>
    <w:p w:rsidR="00C76DBF" w:rsidRDefault="005C491B">
      <w:pPr>
        <w:pStyle w:val="Paragraph1"/>
      </w:pPr>
      <w:r>
        <w:t xml:space="preserve">The terms on the RHS of </w:t>
      </w:r>
      <w:r w:rsidRPr="009D0500">
        <w:rPr>
          <w:i/>
        </w:rPr>
        <w:t>equation 1.2</w:t>
      </w:r>
      <w:r>
        <w:t xml:space="preserve"> are electron kinetic energies, the Coulomb interactions between the electron and the nuclei, the </w:t>
      </w:r>
      <w:r w:rsidR="005D6BD4">
        <w:t>Coulomb</w:t>
      </w:r>
      <w:r>
        <w:t xml:space="preserve"> interactions between the pairs of electrons and the Coulomb interactions between pairs of the nuclei. The term </w:t>
      </w:r>
      <w:r w:rsidRPr="00881B67">
        <w:rPr>
          <w:position w:val="-12"/>
        </w:rPr>
        <w:object w:dxaOrig="1040" w:dyaOrig="360">
          <v:shape id="_x0000_i1029" type="#_x0000_t75" style="width:51.75pt;height:18pt" o:ole="">
            <v:imagedata r:id="rId19" o:title=""/>
          </v:shape>
          <o:OLEObject Type="Embed" ProgID="Equation.3" ShapeID="_x0000_i1029" DrawAspect="Content" ObjectID="_1597226031" r:id="rId20"/>
        </w:object>
      </w:r>
      <w:r>
        <w:t xml:space="preserve">in </w:t>
      </w:r>
      <w:r w:rsidRPr="009D0500">
        <w:rPr>
          <w:i/>
        </w:rPr>
        <w:t>equation 1.1</w:t>
      </w:r>
      <w:r>
        <w:t xml:space="preserve"> is the exchange-correlation functional and it is defined to include all the quantum mechanical effects that are not included in the “known” terms</w:t>
      </w:r>
      <w:r w:rsidR="002447F0">
        <w:rPr>
          <w:noProof/>
          <w:lang w:val="en-US"/>
        </w:rPr>
        <w:t xml:space="preserve"> </w:t>
      </w:r>
      <w:r w:rsidR="002447F0" w:rsidRPr="002447F0">
        <w:rPr>
          <w:noProof/>
          <w:lang w:val="en-US"/>
        </w:rPr>
        <w:t>(</w:t>
      </w:r>
      <w:r w:rsidR="002447F0">
        <w:rPr>
          <w:noProof/>
          <w:lang w:val="en-US"/>
        </w:rPr>
        <w:t>Wesolowski &amp; Warshel,</w:t>
      </w:r>
      <w:r w:rsidR="002447F0" w:rsidRPr="002447F0">
        <w:rPr>
          <w:noProof/>
          <w:lang w:val="en-US"/>
        </w:rPr>
        <w:t xml:space="preserve"> 1993)</w:t>
      </w:r>
      <w:r>
        <w:t>.</w:t>
      </w:r>
      <w:r w:rsidR="00C2612E">
        <w:t xml:space="preserve"> Assuming that we can express the as-yet undefined exchange correlation energy functional in a useful manner, it is still difficult to find the minimum energy solution of the </w:t>
      </w:r>
      <w:r w:rsidR="00C2612E">
        <w:lastRenderedPageBreak/>
        <w:t>total energy functional. This difficulty was solved by Kohn and Sham</w:t>
      </w:r>
      <w:r w:rsidR="000A6494">
        <w:rPr>
          <w:noProof/>
          <w:lang w:val="en-US"/>
        </w:rPr>
        <w:t xml:space="preserve"> </w:t>
      </w:r>
      <w:r w:rsidR="00147D46">
        <w:rPr>
          <w:noProof/>
          <w:lang w:val="en-US"/>
        </w:rPr>
        <w:t>(Kohn</w:t>
      </w:r>
      <w:r w:rsidR="000A6494" w:rsidRPr="000A6494">
        <w:rPr>
          <w:noProof/>
          <w:lang w:val="en-US"/>
        </w:rPr>
        <w:t xml:space="preserve"> &amp; </w:t>
      </w:r>
      <w:r w:rsidR="00147D46">
        <w:rPr>
          <w:noProof/>
          <w:lang w:val="en-US"/>
        </w:rPr>
        <w:t>Sham</w:t>
      </w:r>
      <w:r w:rsidR="000A6494" w:rsidRPr="000A6494">
        <w:rPr>
          <w:noProof/>
          <w:lang w:val="en-US"/>
        </w:rPr>
        <w:t>, 1965)</w:t>
      </w:r>
      <w:r w:rsidR="00C2612E">
        <w:t>, who showed that the task of finding the right electron density can be expressed in a way that involves solving a set of equations in which each equation only involves a single electron. The Kohn-Sham equations have the form</w:t>
      </w:r>
    </w:p>
    <w:p w:rsidR="00C76DBF" w:rsidRDefault="00523657">
      <w:pPr>
        <w:pStyle w:val="Paragraph1"/>
      </w:pPr>
      <w:r w:rsidRPr="00C2612E">
        <w:rPr>
          <w:position w:val="-32"/>
        </w:rPr>
        <w:object w:dxaOrig="8919" w:dyaOrig="760">
          <v:shape id="_x0000_i1030" type="#_x0000_t75" style="width:446.4pt;height:38.25pt" o:ole="">
            <v:imagedata r:id="rId21" o:title=""/>
          </v:shape>
          <o:OLEObject Type="Embed" ProgID="Equation.3" ShapeID="_x0000_i1030" DrawAspect="Content" ObjectID="_1597226032" r:id="rId22"/>
        </w:object>
      </w:r>
    </w:p>
    <w:p w:rsidR="003853DF" w:rsidRDefault="003853DF">
      <w:pPr>
        <w:pStyle w:val="Paragraph1"/>
      </w:pPr>
      <w:r w:rsidRPr="003853DF">
        <w:rPr>
          <w:i/>
        </w:rPr>
        <w:t>Equation 1.3</w:t>
      </w:r>
      <w:r>
        <w:t xml:space="preserve"> is </w:t>
      </w:r>
      <w:r w:rsidR="002256A4">
        <w:t>superficially</w:t>
      </w:r>
      <w:r>
        <w:t xml:space="preserve"> similar to the time independent nonrelativ</w:t>
      </w:r>
      <w:r w:rsidR="006B4629">
        <w:t xml:space="preserve">istic Schrödinger </w:t>
      </w:r>
      <w:r>
        <w:t>equation</w:t>
      </w:r>
      <w:r w:rsidR="00B05454">
        <w:rPr>
          <w:noProof/>
          <w:lang w:val="en-US"/>
        </w:rPr>
        <w:t xml:space="preserve"> </w:t>
      </w:r>
      <w:r w:rsidR="00B05454" w:rsidRPr="00B05454">
        <w:rPr>
          <w:noProof/>
          <w:lang w:val="en-US"/>
        </w:rPr>
        <w:t>(Nelson, 1966)</w:t>
      </w:r>
      <w:r>
        <w:t xml:space="preserve"> only that it misses the summations that appear in the full </w:t>
      </w:r>
      <w:r w:rsidR="006B4629">
        <w:t>Schrödinger</w:t>
      </w:r>
      <w:r>
        <w:t xml:space="preserve"> equation</w:t>
      </w:r>
      <w:r w:rsidR="00F0228F">
        <w:t>. This is because the</w:t>
      </w:r>
      <w:r w:rsidR="00FA40F3">
        <w:t xml:space="preserve"> solution to Kohn-Sham equation is a single electron wave function</w:t>
      </w:r>
      <w:r w:rsidR="00F0228F">
        <w:t xml:space="preserve"> that depend only on three spatial </w:t>
      </w:r>
      <w:r w:rsidR="005933E0">
        <w:t>variables</w:t>
      </w:r>
      <w:r w:rsidR="00F0228F" w:rsidRPr="00881B67">
        <w:rPr>
          <w:position w:val="-12"/>
        </w:rPr>
        <w:object w:dxaOrig="580" w:dyaOrig="360">
          <v:shape id="_x0000_i1031" type="#_x0000_t75" style="width:29.25pt;height:18pt" o:ole="">
            <v:imagedata r:id="rId23" o:title=""/>
          </v:shape>
          <o:OLEObject Type="Embed" ProgID="Equation.3" ShapeID="_x0000_i1031" DrawAspect="Content" ObjectID="_1597226033" r:id="rId24"/>
        </w:object>
      </w:r>
      <w:r w:rsidR="00F0228F">
        <w:t xml:space="preserve">. On the LHS of </w:t>
      </w:r>
      <w:r w:rsidR="00F0228F" w:rsidRPr="00F0228F">
        <w:rPr>
          <w:i/>
        </w:rPr>
        <w:t>equation 1.3</w:t>
      </w:r>
      <w:r w:rsidR="00F0228F">
        <w:t xml:space="preserve"> are the three potentials, </w:t>
      </w:r>
      <w:r w:rsidR="00F0228F" w:rsidRPr="00F0228F">
        <w:rPr>
          <w:position w:val="-10"/>
        </w:rPr>
        <w:object w:dxaOrig="580" w:dyaOrig="340">
          <v:shape id="_x0000_i1032" type="#_x0000_t75" style="width:29.25pt;height:17.25pt" o:ole="">
            <v:imagedata r:id="rId25" o:title=""/>
          </v:shape>
          <o:OLEObject Type="Embed" ProgID="Equation.3" ShapeID="_x0000_i1032" DrawAspect="Content" ObjectID="_1597226034" r:id="rId26"/>
        </w:object>
      </w:r>
      <w:r w:rsidR="005933E0">
        <w:t>and</w:t>
      </w:r>
      <w:r w:rsidR="00F0228F" w:rsidRPr="00F0228F">
        <w:rPr>
          <w:position w:val="-12"/>
        </w:rPr>
        <w:object w:dxaOrig="400" w:dyaOrig="360">
          <v:shape id="_x0000_i1033" type="#_x0000_t75" style="width:20.25pt;height:18pt" o:ole="">
            <v:imagedata r:id="rId27" o:title=""/>
          </v:shape>
          <o:OLEObject Type="Embed" ProgID="Equation.3" ShapeID="_x0000_i1033" DrawAspect="Content" ObjectID="_1597226035" r:id="rId28"/>
        </w:object>
      </w:r>
      <w:r w:rsidR="00F0228F">
        <w:t xml:space="preserve">. </w:t>
      </w:r>
      <w:r w:rsidR="00523657" w:rsidRPr="00523657">
        <w:rPr>
          <w:position w:val="-6"/>
        </w:rPr>
        <w:object w:dxaOrig="240" w:dyaOrig="279">
          <v:shape id="_x0000_i1034" type="#_x0000_t75" style="width:12pt;height:14.25pt" o:ole="">
            <v:imagedata r:id="rId29" o:title=""/>
          </v:shape>
          <o:OLEObject Type="Embed" ProgID="Equation.3" ShapeID="_x0000_i1034" DrawAspect="Content" ObjectID="_1597226036" r:id="rId30"/>
        </w:object>
      </w:r>
      <w:proofErr w:type="gramStart"/>
      <w:r w:rsidR="00523657">
        <w:t>defines</w:t>
      </w:r>
      <w:proofErr w:type="gramEnd"/>
      <w:r w:rsidR="00523657">
        <w:t xml:space="preserve"> the interaction between an electron and the collection of atomic nuclei, </w:t>
      </w:r>
      <w:r w:rsidR="00523657" w:rsidRPr="00523657">
        <w:rPr>
          <w:position w:val="-10"/>
        </w:rPr>
        <w:object w:dxaOrig="340" w:dyaOrig="340">
          <v:shape id="_x0000_i1035" type="#_x0000_t75" style="width:17.25pt;height:17.25pt" o:ole="">
            <v:imagedata r:id="rId31" o:title=""/>
          </v:shape>
          <o:OLEObject Type="Embed" ProgID="Equation.3" ShapeID="_x0000_i1035" DrawAspect="Content" ObjectID="_1597226037" r:id="rId32"/>
        </w:object>
      </w:r>
      <w:r w:rsidR="00523657">
        <w:t xml:space="preserve">is called the </w:t>
      </w:r>
      <w:proofErr w:type="spellStart"/>
      <w:r w:rsidR="00523657">
        <w:t>Hartree</w:t>
      </w:r>
      <w:proofErr w:type="spellEnd"/>
      <w:r w:rsidR="00523657">
        <w:t xml:space="preserve"> potential</w:t>
      </w:r>
      <w:r w:rsidR="00B05454">
        <w:rPr>
          <w:noProof/>
          <w:lang w:val="en-US"/>
        </w:rPr>
        <w:t xml:space="preserve"> </w:t>
      </w:r>
      <w:r w:rsidR="00B05454" w:rsidRPr="00B05454">
        <w:rPr>
          <w:noProof/>
          <w:lang w:val="en-US"/>
        </w:rPr>
        <w:t>(Slater, 1951)</w:t>
      </w:r>
      <w:r w:rsidR="00523657">
        <w:t xml:space="preserve"> and is defined by </w:t>
      </w:r>
    </w:p>
    <w:p w:rsidR="00766208" w:rsidRDefault="008B0CDE">
      <w:pPr>
        <w:pStyle w:val="Paragraph1"/>
      </w:pPr>
      <w:r w:rsidRPr="00881B67">
        <w:rPr>
          <w:position w:val="-32"/>
        </w:rPr>
        <w:object w:dxaOrig="8880" w:dyaOrig="700">
          <v:shape id="_x0000_i1036" type="#_x0000_t75" style="width:444pt;height:35.25pt" o:ole="">
            <v:imagedata r:id="rId33" o:title=""/>
          </v:shape>
          <o:OLEObject Type="Embed" ProgID="Equation.3" ShapeID="_x0000_i1036" DrawAspect="Content" ObjectID="_1597226038" r:id="rId34"/>
        </w:object>
      </w:r>
      <w:r w:rsidR="00523657">
        <w:t xml:space="preserve">This </w:t>
      </w:r>
      <w:r>
        <w:t>potential describes the Coulomb repulsion between the electron being considered in one of the Kohn-Sham equations and the total electron density defined by all electrons in the problem.</w:t>
      </w:r>
      <w:r w:rsidR="00766208">
        <w:t xml:space="preserve"> </w:t>
      </w:r>
      <w:r w:rsidR="00766208" w:rsidRPr="00766208">
        <w:rPr>
          <w:position w:val="-12"/>
        </w:rPr>
        <w:object w:dxaOrig="400" w:dyaOrig="360">
          <v:shape id="_x0000_i1037" type="#_x0000_t75" style="width:20.25pt;height:18pt" o:ole="">
            <v:imagedata r:id="rId35" o:title=""/>
          </v:shape>
          <o:OLEObject Type="Embed" ProgID="Equation.3" ShapeID="_x0000_i1037" DrawAspect="Content" ObjectID="_1597226039" r:id="rId36"/>
        </w:object>
      </w:r>
      <w:r w:rsidR="00766208">
        <w:t xml:space="preserve"> </w:t>
      </w:r>
      <w:proofErr w:type="gramStart"/>
      <w:r w:rsidR="00766208">
        <w:t>defines</w:t>
      </w:r>
      <w:proofErr w:type="gramEnd"/>
      <w:r w:rsidR="00766208">
        <w:t xml:space="preserve"> the exchange correlation contributions to the single electron equations.</w:t>
      </w:r>
    </w:p>
    <w:p w:rsidR="00766208" w:rsidRDefault="005933E0">
      <w:pPr>
        <w:pStyle w:val="Paragraph1"/>
      </w:pPr>
      <w:r w:rsidRPr="00766208">
        <w:rPr>
          <w:position w:val="-28"/>
        </w:rPr>
        <w:object w:dxaOrig="8840" w:dyaOrig="680">
          <v:shape id="_x0000_i1038" type="#_x0000_t75" style="width:441.55pt;height:33.75pt" o:ole="">
            <v:imagedata r:id="rId37" o:title=""/>
          </v:shape>
          <o:OLEObject Type="Embed" ProgID="Equation.3" ShapeID="_x0000_i1038" DrawAspect="Content" ObjectID="_1597226040" r:id="rId38"/>
        </w:object>
      </w:r>
    </w:p>
    <w:p w:rsidR="00523657" w:rsidRDefault="005933E0">
      <w:pPr>
        <w:pStyle w:val="Paragraph1"/>
      </w:pPr>
      <w:r w:rsidRPr="00881B67">
        <w:rPr>
          <w:position w:val="-12"/>
        </w:rPr>
        <w:object w:dxaOrig="400" w:dyaOrig="360">
          <v:shape id="_x0000_i1039" type="#_x0000_t75" style="width:20.25pt;height:18pt" o:ole="">
            <v:imagedata r:id="rId39" o:title=""/>
          </v:shape>
          <o:OLEObject Type="Embed" ProgID="Equation.3" ShapeID="_x0000_i1039" DrawAspect="Content" ObjectID="_1597226041" r:id="rId40"/>
        </w:object>
      </w:r>
      <w:r>
        <w:t xml:space="preserve"> </w:t>
      </w:r>
      <w:proofErr w:type="gramStart"/>
      <w:r>
        <w:t>can</w:t>
      </w:r>
      <w:proofErr w:type="gramEnd"/>
      <w:r>
        <w:t xml:space="preserve"> formally be defined as a “functional derivative” of the exchange-correlation energy.</w:t>
      </w:r>
    </w:p>
    <w:p w:rsidR="005933E0" w:rsidRDefault="005933E0" w:rsidP="005933E0">
      <w:pPr>
        <w:pStyle w:val="Paragraph1"/>
      </w:pPr>
      <w:r>
        <w:t>From this discussion, the process is circular. To solve the Kohn-Sham equations, we need to know the single electron wave function and to know these wave functions, we must solve the Kohn-Sham equations. To break this circle, the problem is treated iterativ</w:t>
      </w:r>
      <w:r w:rsidR="00D8375A">
        <w:t>ely using the following</w:t>
      </w:r>
      <w:r>
        <w:t xml:space="preserve"> algorithm.</w:t>
      </w:r>
    </w:p>
    <w:p w:rsidR="005933E0" w:rsidRDefault="005933E0" w:rsidP="001C77E0">
      <w:pPr>
        <w:pStyle w:val="Paragraph1"/>
        <w:numPr>
          <w:ilvl w:val="0"/>
          <w:numId w:val="8"/>
        </w:numPr>
      </w:pPr>
      <w:r>
        <w:t>Define an initial, trial electron density</w:t>
      </w:r>
      <w:proofErr w:type="gramStart"/>
      <w:r>
        <w:t xml:space="preserve">, </w:t>
      </w:r>
      <w:proofErr w:type="gramEnd"/>
      <w:r w:rsidR="001C77E0" w:rsidRPr="005933E0">
        <w:rPr>
          <w:position w:val="-10"/>
        </w:rPr>
        <w:object w:dxaOrig="480" w:dyaOrig="320">
          <v:shape id="_x0000_i1040" type="#_x0000_t75" style="width:24pt;height:15.75pt" o:ole="">
            <v:imagedata r:id="rId41" o:title=""/>
          </v:shape>
          <o:OLEObject Type="Embed" ProgID="Equation.3" ShapeID="_x0000_i1040" DrawAspect="Content" ObjectID="_1597226042" r:id="rId42"/>
        </w:object>
      </w:r>
      <w:r w:rsidR="001C77E0">
        <w:t>.</w:t>
      </w:r>
    </w:p>
    <w:p w:rsidR="001C77E0" w:rsidRDefault="001C77E0" w:rsidP="001C77E0">
      <w:pPr>
        <w:pStyle w:val="Paragraph1"/>
        <w:numPr>
          <w:ilvl w:val="0"/>
          <w:numId w:val="8"/>
        </w:numPr>
      </w:pPr>
      <w:r>
        <w:t>Solve the Kohn-Sham equations defined using the trial electron density to find the single particle wave functions</w:t>
      </w:r>
      <w:proofErr w:type="gramStart"/>
      <w:r>
        <w:t xml:space="preserve">, </w:t>
      </w:r>
      <w:proofErr w:type="gramEnd"/>
      <w:r w:rsidRPr="001C77E0">
        <w:rPr>
          <w:position w:val="-12"/>
        </w:rPr>
        <w:object w:dxaOrig="600" w:dyaOrig="360">
          <v:shape id="_x0000_i1041" type="#_x0000_t75" style="width:30pt;height:18pt" o:ole="">
            <v:imagedata r:id="rId43" o:title=""/>
          </v:shape>
          <o:OLEObject Type="Embed" ProgID="Equation.3" ShapeID="_x0000_i1041" DrawAspect="Content" ObjectID="_1597226043" r:id="rId44"/>
        </w:object>
      </w:r>
      <w:r>
        <w:t>.</w:t>
      </w:r>
    </w:p>
    <w:p w:rsidR="001C77E0" w:rsidRDefault="001C77E0" w:rsidP="001C77E0">
      <w:pPr>
        <w:pStyle w:val="Paragraph1"/>
        <w:numPr>
          <w:ilvl w:val="0"/>
          <w:numId w:val="8"/>
        </w:numPr>
      </w:pPr>
      <w:r>
        <w:t xml:space="preserve">Calculate the electron density defined by the Kohn-Sham single particle wave functions from step 2, </w:t>
      </w:r>
      <w:r w:rsidR="00EE6824" w:rsidRPr="00EE6824">
        <w:rPr>
          <w:position w:val="-28"/>
        </w:rPr>
        <w:object w:dxaOrig="2200" w:dyaOrig="540">
          <v:shape id="_x0000_i1042" type="#_x0000_t75" style="width:110.2pt;height:27pt" o:ole="">
            <v:imagedata r:id="rId45" o:title=""/>
          </v:shape>
          <o:OLEObject Type="Embed" ProgID="Equation.3" ShapeID="_x0000_i1042" DrawAspect="Content" ObjectID="_1597226044" r:id="rId46"/>
        </w:object>
      </w:r>
    </w:p>
    <w:p w:rsidR="00102E44" w:rsidRDefault="00EE6824" w:rsidP="00E540B2">
      <w:pPr>
        <w:pStyle w:val="Paragraph1"/>
        <w:numPr>
          <w:ilvl w:val="0"/>
          <w:numId w:val="8"/>
        </w:numPr>
      </w:pPr>
      <w:r>
        <w:t>Compare the calculated electron density</w:t>
      </w:r>
      <w:proofErr w:type="gramStart"/>
      <w:r>
        <w:t xml:space="preserve">, </w:t>
      </w:r>
      <w:proofErr w:type="gramEnd"/>
      <w:r w:rsidRPr="00EE6824">
        <w:rPr>
          <w:position w:val="-12"/>
        </w:rPr>
        <w:object w:dxaOrig="700" w:dyaOrig="360">
          <v:shape id="_x0000_i1043" type="#_x0000_t75" style="width:35.25pt;height:18pt" o:ole="">
            <v:imagedata r:id="rId47" o:title=""/>
          </v:shape>
          <o:OLEObject Type="Embed" ProgID="Equation.3" ShapeID="_x0000_i1043" DrawAspect="Content" ObjectID="_1597226045" r:id="rId48"/>
        </w:object>
      </w:r>
      <w:r>
        <w:t xml:space="preserve">, with the electron density used in solving the Kohn-Sham equations, </w:t>
      </w:r>
      <w:r w:rsidRPr="00EE6824">
        <w:rPr>
          <w:position w:val="-10"/>
        </w:rPr>
        <w:object w:dxaOrig="480" w:dyaOrig="320">
          <v:shape id="_x0000_i1044" type="#_x0000_t75" style="width:24pt;height:15.75pt" o:ole="">
            <v:imagedata r:id="rId49" o:title=""/>
          </v:shape>
          <o:OLEObject Type="Embed" ProgID="Equation.3" ShapeID="_x0000_i1044" DrawAspect="Content" ObjectID="_1597226046" r:id="rId50"/>
        </w:object>
      </w:r>
      <w:r>
        <w:t>. If this two densities are the same, then this is the ground state electron density and it can be used to compute the total energy. If the two densities are different, then the trial electron density must be updated in some way.</w:t>
      </w:r>
    </w:p>
    <w:p w:rsidR="00E540B2" w:rsidRDefault="00E540B2" w:rsidP="00E540B2">
      <w:pPr>
        <w:pStyle w:val="Heading2"/>
        <w:numPr>
          <w:ilvl w:val="1"/>
          <w:numId w:val="1"/>
        </w:numPr>
        <w:rPr>
          <w:b/>
        </w:rPr>
      </w:pPr>
      <w:r w:rsidRPr="00E540B2">
        <w:rPr>
          <w:b/>
        </w:rPr>
        <w:t>–</w:t>
      </w:r>
      <w:r>
        <w:rPr>
          <w:b/>
        </w:rPr>
        <w:t xml:space="preserve"> Challenges </w:t>
      </w:r>
      <w:r w:rsidR="005422FC">
        <w:rPr>
          <w:b/>
        </w:rPr>
        <w:t xml:space="preserve">encountered in DFT </w:t>
      </w:r>
      <w:r w:rsidR="00DB67E4">
        <w:rPr>
          <w:b/>
        </w:rPr>
        <w:t>calculation</w:t>
      </w:r>
      <w:r w:rsidR="00506B72">
        <w:rPr>
          <w:b/>
        </w:rPr>
        <w:t>s</w:t>
      </w:r>
    </w:p>
    <w:p w:rsidR="00E50695" w:rsidRPr="00E50695" w:rsidRDefault="00E50695" w:rsidP="00C971AB">
      <w:pPr>
        <w:jc w:val="both"/>
      </w:pPr>
      <w:r>
        <w:t>It is important to note that DFT calcul</w:t>
      </w:r>
      <w:r w:rsidR="00250EB7">
        <w:t>ations are not exact solutions o</w:t>
      </w:r>
      <w:r>
        <w:t xml:space="preserve">f the Schrödinger equation. This inexactness arises since the exact functional that </w:t>
      </w:r>
      <w:proofErr w:type="spellStart"/>
      <w:r>
        <w:t>Hohenberg</w:t>
      </w:r>
      <w:proofErr w:type="spellEnd"/>
      <w:r>
        <w:t>-Kohn theorem applies is not known</w:t>
      </w:r>
      <w:r w:rsidR="006778FC">
        <w:rPr>
          <w:noProof/>
          <w:lang w:val="en-US"/>
        </w:rPr>
        <w:t xml:space="preserve"> </w:t>
      </w:r>
      <w:r w:rsidR="00EE3DCA">
        <w:rPr>
          <w:noProof/>
          <w:lang w:val="en-US"/>
        </w:rPr>
        <w:t xml:space="preserve">(Koentopp </w:t>
      </w:r>
      <w:r w:rsidR="00EE3DCA" w:rsidRPr="00EE3DCA">
        <w:rPr>
          <w:i/>
          <w:noProof/>
          <w:lang w:val="en-US"/>
        </w:rPr>
        <w:t>et al</w:t>
      </w:r>
      <w:r w:rsidR="006778FC" w:rsidRPr="006778FC">
        <w:rPr>
          <w:noProof/>
          <w:lang w:val="en-US"/>
        </w:rPr>
        <w:t>, 2008)</w:t>
      </w:r>
      <w:r>
        <w:t>. Any time we perform a DFT calculation, there is always an intrinsic uncertainty that exists within the energies calculated with DFT and the true ground-state energies of the Schrödinger equation. We can’t estimate the uncertainty apart from making a careful comparison with the experimental measurements.</w:t>
      </w:r>
      <w:r w:rsidR="00B43BED">
        <w:t xml:space="preserve"> There are many physical situations where the accuracy of a DFT calculation</w:t>
      </w:r>
      <w:r w:rsidR="00230EF0">
        <w:t xml:space="preserve">s is good enough to make </w:t>
      </w:r>
      <w:r w:rsidR="00C971AB">
        <w:t xml:space="preserve">powerful </w:t>
      </w:r>
      <w:r w:rsidR="00230EF0">
        <w:t xml:space="preserve">predictions about the properties of complex materials but </w:t>
      </w:r>
      <w:r w:rsidR="00C971AB">
        <w:t xml:space="preserve">in some cases it is not </w:t>
      </w:r>
      <w:r w:rsidR="00C971AB">
        <w:lastRenderedPageBreak/>
        <w:t>expected to be accurate. We will briefly explain such cases</w:t>
      </w:r>
      <w:r w:rsidR="00244950">
        <w:t xml:space="preserve">. One such case is that DFT has a limited accuracy in the calculation of electronic excited states. This can be deduced from the </w:t>
      </w:r>
      <w:proofErr w:type="spellStart"/>
      <w:r w:rsidR="00244950">
        <w:t>Hohenberg</w:t>
      </w:r>
      <w:proofErr w:type="spellEnd"/>
      <w:r w:rsidR="00244950">
        <w:t>-Kohn theorems which only apply to the ground state</w:t>
      </w:r>
      <w:r w:rsidR="00A51691">
        <w:t xml:space="preserve"> energy. Another inaccuracy arising</w:t>
      </w:r>
      <w:r w:rsidR="00244950">
        <w:t xml:space="preserve"> from DFT calculations is the underestimation of calculated band gaps in semiconducting and insulating materials. Standard DFT calculations wit</w:t>
      </w:r>
      <w:r w:rsidR="006F6E32">
        <w:t>h</w:t>
      </w:r>
      <w:r w:rsidR="00244950">
        <w:t xml:space="preserve"> existing </w:t>
      </w:r>
      <w:proofErr w:type="spellStart"/>
      <w:r w:rsidR="00244950">
        <w:t>functionals</w:t>
      </w:r>
      <w:proofErr w:type="spellEnd"/>
      <w:r w:rsidR="00244950">
        <w:t xml:space="preserve"> have limited accuracy for band </w:t>
      </w:r>
      <w:r w:rsidR="006F6E32">
        <w:t xml:space="preserve">gaps with errors larger than 1 eV being noted when comparing with experimental data.  Another </w:t>
      </w:r>
      <w:r w:rsidR="004E19A4">
        <w:t>situation</w:t>
      </w:r>
      <w:r w:rsidR="006F6E32">
        <w:t xml:space="preserve"> wher</w:t>
      </w:r>
      <w:r w:rsidR="002046C7">
        <w:t>e DFT calculations will give in</w:t>
      </w:r>
      <w:r w:rsidR="006F6E32">
        <w:t xml:space="preserve">accurate results is associated with the weak van der Waals attractions between atoms and molecules. Van der Waals interactions are a direct result of long range electron correlation and describing these interactions with DFT is challenging. Last but not least is the computational challenge that arise when solving the mathematical problem posed by DFT. </w:t>
      </w:r>
      <w:r w:rsidR="00EC0A84">
        <w:t>Calculations involving a thousand or more atoms are computation</w:t>
      </w:r>
      <w:r w:rsidR="000F7052">
        <w:t>al expensive and are reserved for</w:t>
      </w:r>
      <w:r w:rsidR="00EC0A84">
        <w:t xml:space="preserve"> very few individuals that are able to develop or access the state of the art computer codes and equally using the world’s largest computers.</w:t>
      </w:r>
    </w:p>
    <w:p w:rsidR="00E540B2" w:rsidRDefault="00E540B2" w:rsidP="00E540B2">
      <w:pPr>
        <w:pStyle w:val="Paragraph1"/>
      </w:pPr>
    </w:p>
    <w:p w:rsidR="00E540B2" w:rsidRDefault="00E540B2" w:rsidP="00E540B2">
      <w:pPr>
        <w:pStyle w:val="Paragraph1"/>
      </w:pPr>
    </w:p>
    <w:p w:rsidR="00102E44" w:rsidRDefault="00E540B2">
      <w:pPr>
        <w:pStyle w:val="Heading1"/>
        <w:numPr>
          <w:ilvl w:val="0"/>
          <w:numId w:val="1"/>
        </w:numPr>
      </w:pPr>
      <w:r>
        <w:t>The computation process in materials science</w:t>
      </w:r>
      <w:r w:rsidR="00924908">
        <w:t xml:space="preserve"> using DFT</w:t>
      </w:r>
    </w:p>
    <w:p w:rsidR="00924908" w:rsidRPr="002677BC" w:rsidRDefault="002677BC" w:rsidP="004533AD">
      <w:pPr>
        <w:jc w:val="both"/>
      </w:pPr>
      <w:r w:rsidRPr="002677BC">
        <w:t>Several packages have been developed in which DFT has been implemented. Right from the open source packages to the commercial packages. One is able to make a choice depending on a number of factors. One such package that is used in this work is the Quantum ESPRESSO</w:t>
      </w:r>
      <w:r w:rsidR="001E76BE">
        <w:t xml:space="preserve"> code</w:t>
      </w:r>
      <w:r w:rsidR="00533849">
        <w:rPr>
          <w:noProof/>
          <w:lang w:val="en-US"/>
        </w:rPr>
        <w:t xml:space="preserve"> (Giannozzi </w:t>
      </w:r>
      <w:r w:rsidR="00533849" w:rsidRPr="00533849">
        <w:rPr>
          <w:i/>
          <w:noProof/>
          <w:lang w:val="en-US"/>
        </w:rPr>
        <w:t>et al</w:t>
      </w:r>
      <w:r w:rsidR="00533849" w:rsidRPr="00533849">
        <w:rPr>
          <w:noProof/>
          <w:lang w:val="en-US"/>
        </w:rPr>
        <w:t>, 2009)</w:t>
      </w:r>
      <w:r w:rsidRPr="002677BC">
        <w:t>, it falls among the many open source pack</w:t>
      </w:r>
      <w:r w:rsidR="00D504F1">
        <w:t>ages and it is written using</w:t>
      </w:r>
      <w:r w:rsidRPr="002677BC">
        <w:t xml:space="preserve"> python programming language</w:t>
      </w:r>
      <w:r w:rsidR="00606425">
        <w:rPr>
          <w:noProof/>
          <w:lang w:val="en-US"/>
        </w:rPr>
        <w:t xml:space="preserve"> (Van </w:t>
      </w:r>
      <w:r w:rsidR="00606425" w:rsidRPr="00606425">
        <w:rPr>
          <w:noProof/>
          <w:lang w:val="en-US"/>
        </w:rPr>
        <w:t>, 2007)</w:t>
      </w:r>
      <w:r w:rsidRPr="002677BC">
        <w:t>, a high-level programing language. The operation of quantum ESPRESSO package is mainly subdivided into three parts. The input (coding), processing (assembling and interpreting) and the output (build and run).  In the case of DFT, input sc</w:t>
      </w:r>
      <w:r w:rsidR="008745FD">
        <w:t>ripts are written using the shell</w:t>
      </w:r>
      <w:r w:rsidRPr="002677BC">
        <w:t xml:space="preserve"> programming language</w:t>
      </w:r>
      <w:r w:rsidR="00C0150D">
        <w:rPr>
          <w:noProof/>
          <w:lang w:val="en-US"/>
        </w:rPr>
        <w:t xml:space="preserve"> (Sobell &amp; Helmke</w:t>
      </w:r>
      <w:r w:rsidR="00C0150D" w:rsidRPr="00C0150D">
        <w:rPr>
          <w:noProof/>
          <w:lang w:val="en-US"/>
        </w:rPr>
        <w:t>, 2005)</w:t>
      </w:r>
      <w:r w:rsidRPr="002677BC">
        <w:t xml:space="preserve"> or python programing language. The input script contains information regarding the system under study, </w:t>
      </w:r>
      <w:proofErr w:type="spellStart"/>
      <w:r w:rsidRPr="002677BC">
        <w:t>i.e</w:t>
      </w:r>
      <w:proofErr w:type="spellEnd"/>
      <w:r w:rsidRPr="002677BC">
        <w:t xml:space="preserve"> the cell parameters and the way the atoms are arranged, the </w:t>
      </w:r>
      <w:proofErr w:type="spellStart"/>
      <w:r w:rsidR="00B959BC" w:rsidRPr="00D91F63">
        <w:t>Bravais</w:t>
      </w:r>
      <w:proofErr w:type="spellEnd"/>
      <w:r w:rsidRPr="002677BC">
        <w:t xml:space="preserve"> lattice and any other relevant information on the system. During processing, th</w:t>
      </w:r>
      <w:r w:rsidR="007757A4">
        <w:t>e assemblers do convert the shell</w:t>
      </w:r>
      <w:r w:rsidRPr="002677BC">
        <w:t xml:space="preserve"> or python codes into machine language, a language that the computer </w:t>
      </w:r>
      <w:r w:rsidR="0036239C" w:rsidRPr="0036239C">
        <w:t>processors</w:t>
      </w:r>
      <w:r w:rsidRPr="002677BC">
        <w:t xml:space="preserve"> understand. The speed of the processing depends on the architecture of the hardware of the computer used. After processing, interpretation and compilation of the programing code is done. In this </w:t>
      </w:r>
      <w:r w:rsidR="007757A4">
        <w:t>particular case, python and shell</w:t>
      </w:r>
      <w:r w:rsidRPr="002677BC">
        <w:t xml:space="preserve"> languages are no</w:t>
      </w:r>
      <w:r w:rsidR="007B260F">
        <w:t xml:space="preserve">t compiled but are interpreted </w:t>
      </w:r>
      <w:r w:rsidRPr="007B260F">
        <w:t xml:space="preserve">to </w:t>
      </w:r>
      <w:r w:rsidRPr="002677BC">
        <w:t>check for any errors. If all is fine, the program is then ‘build’ and run to give the expected results readable by human as useful information.</w:t>
      </w:r>
    </w:p>
    <w:p w:rsidR="00102E44" w:rsidRDefault="00E2786A">
      <w:pPr>
        <w:pStyle w:val="Heading1"/>
        <w:numPr>
          <w:ilvl w:val="0"/>
          <w:numId w:val="1"/>
        </w:numPr>
      </w:pPr>
      <w:r>
        <w:t>Computation of Stru</w:t>
      </w:r>
      <w:r w:rsidR="00191573">
        <w:t>ctural properties</w:t>
      </w:r>
      <w:r>
        <w:t xml:space="preserve"> in cubic ScF</w:t>
      </w:r>
      <w:r w:rsidRPr="00E2786A">
        <w:rPr>
          <w:vertAlign w:val="subscript"/>
        </w:rPr>
        <w:t>3</w:t>
      </w:r>
    </w:p>
    <w:p w:rsidR="00FA0825" w:rsidRDefault="00FA0825" w:rsidP="00FA0825">
      <w:pPr>
        <w:jc w:val="both"/>
        <w:rPr>
          <w:szCs w:val="24"/>
        </w:rPr>
      </w:pPr>
      <w:r>
        <w:rPr>
          <w:szCs w:val="24"/>
        </w:rPr>
        <w:t xml:space="preserve">Scandium </w:t>
      </w:r>
      <w:proofErr w:type="spellStart"/>
      <w:r>
        <w:rPr>
          <w:szCs w:val="24"/>
        </w:rPr>
        <w:t>Trifluo</w:t>
      </w:r>
      <w:r w:rsidRPr="006F2795">
        <w:rPr>
          <w:szCs w:val="24"/>
        </w:rPr>
        <w:t>ride</w:t>
      </w:r>
      <w:proofErr w:type="spellEnd"/>
      <w:r w:rsidRPr="006F2795">
        <w:rPr>
          <w:szCs w:val="24"/>
        </w:rPr>
        <w:t xml:space="preserve"> (ScF</w:t>
      </w:r>
      <w:r w:rsidRPr="006F2795">
        <w:rPr>
          <w:szCs w:val="24"/>
          <w:vertAlign w:val="subscript"/>
        </w:rPr>
        <w:t>3</w:t>
      </w:r>
      <w:r w:rsidRPr="006F2795">
        <w:rPr>
          <w:szCs w:val="24"/>
        </w:rPr>
        <w:t>)</w:t>
      </w:r>
      <w:r>
        <w:rPr>
          <w:szCs w:val="24"/>
        </w:rPr>
        <w:t xml:space="preserve"> is a trivalent metal fluoride that belongs to the family of </w:t>
      </w:r>
      <w:proofErr w:type="spellStart"/>
      <w:r>
        <w:rPr>
          <w:szCs w:val="24"/>
        </w:rPr>
        <w:t>perovskite</w:t>
      </w:r>
      <w:proofErr w:type="spellEnd"/>
      <w:r>
        <w:rPr>
          <w:szCs w:val="24"/>
        </w:rPr>
        <w:t>-type compounds that have the general formula ABX</w:t>
      </w:r>
      <w:r w:rsidRPr="00BA7D48">
        <w:rPr>
          <w:szCs w:val="24"/>
          <w:vertAlign w:val="subscript"/>
        </w:rPr>
        <w:t>3</w:t>
      </w:r>
      <w:r>
        <w:rPr>
          <w:szCs w:val="24"/>
        </w:rPr>
        <w:t>, but in this case, A-</w:t>
      </w:r>
      <w:proofErr w:type="spellStart"/>
      <w:r>
        <w:rPr>
          <w:szCs w:val="24"/>
        </w:rPr>
        <w:t>Cation</w:t>
      </w:r>
      <w:proofErr w:type="spellEnd"/>
      <w:r>
        <w:rPr>
          <w:szCs w:val="24"/>
        </w:rPr>
        <w:t xml:space="preserve"> site is vacant. The crystal structure of </w:t>
      </w:r>
      <w:r w:rsidRPr="006F2795">
        <w:rPr>
          <w:szCs w:val="24"/>
        </w:rPr>
        <w:t>ScF</w:t>
      </w:r>
      <w:r w:rsidRPr="006F2795">
        <w:rPr>
          <w:szCs w:val="24"/>
          <w:vertAlign w:val="subscript"/>
        </w:rPr>
        <w:t>3</w:t>
      </w:r>
      <w:r>
        <w:rPr>
          <w:szCs w:val="24"/>
          <w:vertAlign w:val="subscript"/>
        </w:rPr>
        <w:t xml:space="preserve"> </w:t>
      </w:r>
      <w:r>
        <w:rPr>
          <w:szCs w:val="24"/>
        </w:rPr>
        <w:t>can be cited as ReO</w:t>
      </w:r>
      <w:r w:rsidRPr="00BA7D48">
        <w:rPr>
          <w:szCs w:val="24"/>
          <w:vertAlign w:val="subscript"/>
        </w:rPr>
        <w:t>3</w:t>
      </w:r>
      <w:r>
        <w:rPr>
          <w:szCs w:val="24"/>
        </w:rPr>
        <w:t xml:space="preserve">-type. </w:t>
      </w:r>
      <w:r w:rsidRPr="006F2795">
        <w:rPr>
          <w:szCs w:val="24"/>
        </w:rPr>
        <w:t xml:space="preserve">Cubic Scandium </w:t>
      </w:r>
      <w:proofErr w:type="spellStart"/>
      <w:r w:rsidRPr="006F2795">
        <w:rPr>
          <w:szCs w:val="24"/>
        </w:rPr>
        <w:t>Triflouride</w:t>
      </w:r>
      <w:proofErr w:type="spellEnd"/>
      <w:r w:rsidRPr="006F2795">
        <w:rPr>
          <w:szCs w:val="24"/>
        </w:rPr>
        <w:t xml:space="preserve"> (ScF</w:t>
      </w:r>
      <w:r w:rsidRPr="006F2795">
        <w:rPr>
          <w:szCs w:val="24"/>
          <w:vertAlign w:val="subscript"/>
        </w:rPr>
        <w:t>3</w:t>
      </w:r>
      <w:r w:rsidRPr="006F2795">
        <w:rPr>
          <w:szCs w:val="24"/>
        </w:rPr>
        <w:t>) is a material that contracts when exposed to heat. Not many materials are known to behave this way. Such materials have many interesting technological applications yet some of its properties are</w:t>
      </w:r>
      <w:r w:rsidR="00E00042">
        <w:rPr>
          <w:szCs w:val="24"/>
        </w:rPr>
        <w:t xml:space="preserve"> yet to be fully explored using computational </w:t>
      </w:r>
      <w:r w:rsidRPr="006F2795">
        <w:rPr>
          <w:szCs w:val="24"/>
        </w:rPr>
        <w:t>methods. We engage</w:t>
      </w:r>
      <w:r>
        <w:rPr>
          <w:szCs w:val="24"/>
        </w:rPr>
        <w:t>d</w:t>
      </w:r>
      <w:r w:rsidRPr="006F2795">
        <w:rPr>
          <w:szCs w:val="24"/>
        </w:rPr>
        <w:t xml:space="preserve"> state-of-the-art </w:t>
      </w:r>
      <w:proofErr w:type="spellStart"/>
      <w:r w:rsidRPr="006F2795">
        <w:rPr>
          <w:i/>
          <w:szCs w:val="24"/>
        </w:rPr>
        <w:t>ab</w:t>
      </w:r>
      <w:proofErr w:type="spellEnd"/>
      <w:r w:rsidRPr="006F2795">
        <w:rPr>
          <w:i/>
          <w:szCs w:val="24"/>
        </w:rPr>
        <w:t xml:space="preserve"> initio </w:t>
      </w:r>
      <w:r w:rsidRPr="006F2795">
        <w:rPr>
          <w:szCs w:val="24"/>
        </w:rPr>
        <w:t>methods based on density functional theory (DFT) to study structural and Mechanical properties of ScF</w:t>
      </w:r>
      <w:r w:rsidRPr="006F2795">
        <w:rPr>
          <w:szCs w:val="24"/>
          <w:vertAlign w:val="subscript"/>
        </w:rPr>
        <w:t>3</w:t>
      </w:r>
      <w:r w:rsidRPr="006F2795">
        <w:rPr>
          <w:szCs w:val="24"/>
        </w:rPr>
        <w:t xml:space="preserve">. The calculated values of the lattice parameter, atomic volumes, bulk modulus and elastic constants agree with the existing experimental and theoretical data. We did our calculation using different exchange-correlation </w:t>
      </w:r>
      <w:proofErr w:type="spellStart"/>
      <w:r w:rsidRPr="006F2795">
        <w:rPr>
          <w:szCs w:val="24"/>
        </w:rPr>
        <w:t>functionals</w:t>
      </w:r>
      <w:proofErr w:type="spellEnd"/>
      <w:r w:rsidRPr="006F2795">
        <w:rPr>
          <w:szCs w:val="24"/>
        </w:rPr>
        <w:t xml:space="preserve"> and plane a</w:t>
      </w:r>
      <w:r w:rsidR="00B02FDB">
        <w:rPr>
          <w:szCs w:val="24"/>
        </w:rPr>
        <w:t xml:space="preserve">ugmented wave pseudo potentials. </w:t>
      </w:r>
      <w:r w:rsidRPr="006F2795">
        <w:rPr>
          <w:szCs w:val="24"/>
        </w:rPr>
        <w:t xml:space="preserve">This information will </w:t>
      </w:r>
      <w:r w:rsidR="00CE5D5D">
        <w:rPr>
          <w:szCs w:val="24"/>
        </w:rPr>
        <w:t>be used to show the predictive nature of DFT as a standard tool in materials science.</w:t>
      </w:r>
    </w:p>
    <w:p w:rsidR="00FA0825" w:rsidRDefault="00FA0825" w:rsidP="00FA0825">
      <w:pPr>
        <w:pStyle w:val="Heading2"/>
        <w:numPr>
          <w:ilvl w:val="1"/>
          <w:numId w:val="1"/>
        </w:numPr>
        <w:rPr>
          <w:b/>
        </w:rPr>
      </w:pPr>
      <w:r w:rsidRPr="00E540B2">
        <w:rPr>
          <w:b/>
        </w:rPr>
        <w:lastRenderedPageBreak/>
        <w:t>–</w:t>
      </w:r>
      <w:r>
        <w:rPr>
          <w:b/>
        </w:rPr>
        <w:t xml:space="preserve"> Computational methodology</w:t>
      </w:r>
    </w:p>
    <w:p w:rsidR="00100290" w:rsidRDefault="00100290" w:rsidP="00100290">
      <w:pPr>
        <w:jc w:val="both"/>
        <w:rPr>
          <w:rFonts w:eastAsia="Calibri"/>
        </w:rPr>
      </w:pPr>
      <w:r w:rsidRPr="009E55DA">
        <w:t xml:space="preserve">All the calculations of full energies, optimized geometries </w:t>
      </w:r>
      <w:r w:rsidR="00E7297C">
        <w:t>were carried out using the quantum</w:t>
      </w:r>
      <w:r w:rsidR="00E7297C">
        <w:rPr>
          <w:color w:val="333333"/>
          <w:shd w:val="clear" w:color="auto" w:fill="FFFFFF"/>
        </w:rPr>
        <w:t xml:space="preserve"> ESPRESSO computer</w:t>
      </w:r>
      <w:r w:rsidRPr="009E55DA">
        <w:t xml:space="preserve"> code and were performed in the framework of Density Functional Theory (DFT)</w:t>
      </w:r>
      <w:r w:rsidRPr="009E55DA">
        <w:rPr>
          <w:rFonts w:eastAsia="Calibri"/>
        </w:rPr>
        <w:t>. We</w:t>
      </w:r>
      <w:r w:rsidRPr="009E55DA">
        <w:t xml:space="preserve"> did our calculations with five (5)</w:t>
      </w:r>
      <w:r>
        <w:t xml:space="preserve"> ex</w:t>
      </w:r>
      <w:r w:rsidRPr="009E55DA">
        <w:t>cha</w:t>
      </w:r>
      <w:r>
        <w:t>nge –correlations (XC); t</w:t>
      </w:r>
      <w:r w:rsidRPr="009E55DA">
        <w:t>h</w:t>
      </w:r>
      <w:r>
        <w:t xml:space="preserve">e </w:t>
      </w:r>
      <w:proofErr w:type="spellStart"/>
      <w:r>
        <w:t>Perdew</w:t>
      </w:r>
      <w:proofErr w:type="spellEnd"/>
      <w:r>
        <w:t>-Burke-</w:t>
      </w:r>
      <w:proofErr w:type="spellStart"/>
      <w:r>
        <w:t>Ernzerhof</w:t>
      </w:r>
      <w:proofErr w:type="spellEnd"/>
      <w:r>
        <w:t xml:space="preserve"> (PBE)</w:t>
      </w:r>
      <w:r w:rsidR="0004298E">
        <w:rPr>
          <w:noProof/>
          <w:lang w:val="en-US"/>
        </w:rPr>
        <w:t xml:space="preserve"> (Perdew </w:t>
      </w:r>
      <w:r w:rsidR="0004298E" w:rsidRPr="0004298E">
        <w:rPr>
          <w:i/>
          <w:noProof/>
          <w:lang w:val="en-US"/>
        </w:rPr>
        <w:t>et al</w:t>
      </w:r>
      <w:r w:rsidR="0004298E" w:rsidRPr="0004298E">
        <w:rPr>
          <w:noProof/>
          <w:lang w:val="en-US"/>
        </w:rPr>
        <w:t>, 1996)</w:t>
      </w:r>
      <w:r w:rsidRPr="009E55DA">
        <w:t>, th</w:t>
      </w:r>
      <w:r>
        <w:t>e Perdew-Wang-91 functional (PW91)</w:t>
      </w:r>
      <w:r w:rsidR="0004298E">
        <w:rPr>
          <w:noProof/>
          <w:lang w:val="en-US"/>
        </w:rPr>
        <w:t xml:space="preserve"> (Perdew </w:t>
      </w:r>
      <w:r w:rsidR="0004298E" w:rsidRPr="0004298E">
        <w:rPr>
          <w:i/>
          <w:noProof/>
          <w:lang w:val="en-US"/>
        </w:rPr>
        <w:t>et al</w:t>
      </w:r>
      <w:r w:rsidR="0004298E" w:rsidRPr="0004298E">
        <w:rPr>
          <w:noProof/>
          <w:lang w:val="en-US"/>
        </w:rPr>
        <w:t>, 1992)</w:t>
      </w:r>
      <w:r>
        <w:t>, the Wu-Cohen functional (WC)</w:t>
      </w:r>
      <w:r w:rsidR="0004298E">
        <w:rPr>
          <w:noProof/>
          <w:lang w:val="en-US"/>
        </w:rPr>
        <w:t xml:space="preserve"> (Wu &amp; Cohen</w:t>
      </w:r>
      <w:r w:rsidR="0004298E" w:rsidRPr="0004298E">
        <w:rPr>
          <w:noProof/>
          <w:lang w:val="en-US"/>
        </w:rPr>
        <w:t>, 2006)</w:t>
      </w:r>
      <w:r w:rsidRPr="009E55DA">
        <w:t xml:space="preserve">, the enhanced </w:t>
      </w:r>
      <w:proofErr w:type="spellStart"/>
      <w:r w:rsidRPr="009E55DA">
        <w:t>Perdew</w:t>
      </w:r>
      <w:proofErr w:type="spellEnd"/>
      <w:r w:rsidRPr="009E55DA">
        <w:t>-Burke-</w:t>
      </w:r>
      <w:proofErr w:type="spellStart"/>
      <w:r w:rsidRPr="009E55DA">
        <w:t>Ernzerh</w:t>
      </w:r>
      <w:r>
        <w:t>of</w:t>
      </w:r>
      <w:proofErr w:type="spellEnd"/>
      <w:r>
        <w:t xml:space="preserve"> functional for solids (</w:t>
      </w:r>
      <w:proofErr w:type="spellStart"/>
      <w:r>
        <w:t>PBEsol</w:t>
      </w:r>
      <w:proofErr w:type="spellEnd"/>
      <w:r>
        <w:t>)</w:t>
      </w:r>
      <w:r w:rsidR="00CF3B0F">
        <w:rPr>
          <w:noProof/>
          <w:lang w:val="en-US"/>
        </w:rPr>
        <w:t xml:space="preserve"> (Perdew </w:t>
      </w:r>
      <w:r w:rsidR="00CF3B0F" w:rsidRPr="00CF3B0F">
        <w:rPr>
          <w:i/>
          <w:noProof/>
          <w:lang w:val="en-US"/>
        </w:rPr>
        <w:t>et al</w:t>
      </w:r>
      <w:r w:rsidR="00CF3B0F" w:rsidRPr="00CF3B0F">
        <w:rPr>
          <w:noProof/>
          <w:lang w:val="en-US"/>
        </w:rPr>
        <w:t>, 2008)</w:t>
      </w:r>
      <w:r w:rsidRPr="009E55DA">
        <w:t xml:space="preserve"> and the</w:t>
      </w:r>
      <w:r>
        <w:t xml:space="preserve"> </w:t>
      </w:r>
      <w:proofErr w:type="spellStart"/>
      <w:r>
        <w:t>Perdew-Zunger</w:t>
      </w:r>
      <w:proofErr w:type="spellEnd"/>
      <w:r>
        <w:t xml:space="preserve"> functional (PZ)</w:t>
      </w:r>
      <w:r w:rsidR="00C43A55">
        <w:rPr>
          <w:noProof/>
          <w:lang w:val="en-US"/>
        </w:rPr>
        <w:t xml:space="preserve"> (Perdew &amp; Zunger</w:t>
      </w:r>
      <w:r w:rsidR="00C43A55" w:rsidRPr="00C43A55">
        <w:rPr>
          <w:noProof/>
          <w:lang w:val="en-US"/>
        </w:rPr>
        <w:t>, 1981)</w:t>
      </w:r>
      <w:r w:rsidRPr="009E55DA">
        <w:t xml:space="preserve">. We picked these </w:t>
      </w:r>
      <w:r>
        <w:rPr>
          <w:rFonts w:eastAsia="Calibri"/>
        </w:rPr>
        <w:t>exchange-correlations</w:t>
      </w:r>
      <w:r>
        <w:t xml:space="preserve"> since they are</w:t>
      </w:r>
      <w:r w:rsidRPr="009E55DA">
        <w:t xml:space="preserve"> computationally efficient and no adjustable</w:t>
      </w:r>
      <w:r>
        <w:t xml:space="preserve"> parameter was required. The core–valence electron </w:t>
      </w:r>
      <w:r w:rsidRPr="009E55DA">
        <w:t>interaction</w:t>
      </w:r>
      <w:r>
        <w:t xml:space="preserve"> was described by Projector Augmented W</w:t>
      </w:r>
      <w:r w:rsidRPr="009E55DA">
        <w:t>ave (PAW) pseudo-potentials from the 0.3.1 version of the libra</w:t>
      </w:r>
      <w:r w:rsidR="00352AEF">
        <w:t xml:space="preserve">ry of Dal </w:t>
      </w:r>
      <w:proofErr w:type="spellStart"/>
      <w:r w:rsidR="00352AEF">
        <w:t>Corso</w:t>
      </w:r>
      <w:proofErr w:type="spellEnd"/>
      <w:r w:rsidR="00352AEF">
        <w:rPr>
          <w:noProof/>
          <w:lang w:val="en-US"/>
        </w:rPr>
        <w:t xml:space="preserve"> </w:t>
      </w:r>
      <w:r w:rsidR="00352AEF" w:rsidRPr="00352AEF">
        <w:rPr>
          <w:noProof/>
          <w:lang w:val="en-US"/>
        </w:rPr>
        <w:t>(Dal Corso, 2014)</w:t>
      </w:r>
      <w:r w:rsidRPr="009E55DA">
        <w:rPr>
          <w:szCs w:val="24"/>
        </w:rPr>
        <w:t xml:space="preserve">. </w:t>
      </w:r>
      <w:r>
        <w:rPr>
          <w:szCs w:val="24"/>
        </w:rPr>
        <w:t xml:space="preserve">The crystal structure of </w:t>
      </w:r>
      <w:r w:rsidRPr="00874B8E">
        <w:rPr>
          <w:szCs w:val="18"/>
        </w:rPr>
        <w:t>ScF</w:t>
      </w:r>
      <w:r w:rsidRPr="00874B8E">
        <w:rPr>
          <w:szCs w:val="18"/>
          <w:vertAlign w:val="subscript"/>
        </w:rPr>
        <w:t>3</w:t>
      </w:r>
      <w:r>
        <w:rPr>
          <w:szCs w:val="18"/>
          <w:vertAlign w:val="subscript"/>
        </w:rPr>
        <w:t xml:space="preserve"> </w:t>
      </w:r>
      <w:r>
        <w:rPr>
          <w:szCs w:val="24"/>
        </w:rPr>
        <w:t xml:space="preserve">was </w:t>
      </w:r>
      <w:r w:rsidRPr="009E55DA">
        <w:rPr>
          <w:szCs w:val="24"/>
        </w:rPr>
        <w:t xml:space="preserve">relaxed </w:t>
      </w:r>
      <w:r w:rsidR="00FD4157">
        <w:rPr>
          <w:szCs w:val="24"/>
        </w:rPr>
        <w:t>at 0K and 0GPa</w:t>
      </w:r>
      <w:r>
        <w:rPr>
          <w:szCs w:val="24"/>
        </w:rPr>
        <w:t>. A</w:t>
      </w:r>
      <w:r w:rsidRPr="009E55DA">
        <w:rPr>
          <w:szCs w:val="24"/>
        </w:rPr>
        <w:t>fter</w:t>
      </w:r>
      <w:r>
        <w:rPr>
          <w:szCs w:val="24"/>
        </w:rPr>
        <w:t xml:space="preserve"> convergence tests, </w:t>
      </w:r>
      <w:r w:rsidRPr="009E55DA">
        <w:rPr>
          <w:szCs w:val="24"/>
        </w:rPr>
        <w:t xml:space="preserve">a </w:t>
      </w:r>
      <w:r>
        <w:rPr>
          <w:szCs w:val="24"/>
        </w:rPr>
        <w:t>cut-</w:t>
      </w:r>
      <w:r w:rsidRPr="009E55DA">
        <w:rPr>
          <w:szCs w:val="24"/>
        </w:rPr>
        <w:t xml:space="preserve">off energy of 60 </w:t>
      </w:r>
      <w:proofErr w:type="spellStart"/>
      <w:r w:rsidRPr="009E55DA">
        <w:rPr>
          <w:szCs w:val="24"/>
        </w:rPr>
        <w:t>Ry</w:t>
      </w:r>
      <w:proofErr w:type="spellEnd"/>
      <w:r w:rsidRPr="009E55DA">
        <w:rPr>
          <w:szCs w:val="24"/>
        </w:rPr>
        <w:t xml:space="preserve"> for the plane wave basis</w:t>
      </w:r>
      <w:r>
        <w:rPr>
          <w:szCs w:val="24"/>
        </w:rPr>
        <w:t xml:space="preserve"> was chosen. The </w:t>
      </w:r>
      <w:proofErr w:type="spellStart"/>
      <w:r>
        <w:rPr>
          <w:szCs w:val="24"/>
        </w:rPr>
        <w:t>Monkhorst</w:t>
      </w:r>
      <w:proofErr w:type="spellEnd"/>
      <w:r>
        <w:rPr>
          <w:szCs w:val="24"/>
        </w:rPr>
        <w:t>-Pack scheme and</w:t>
      </w:r>
      <w:r w:rsidRPr="009E55DA">
        <w:rPr>
          <w:szCs w:val="24"/>
        </w:rPr>
        <w:t xml:space="preserve"> the </w:t>
      </w:r>
      <w:proofErr w:type="spellStart"/>
      <w:r w:rsidRPr="009E55DA">
        <w:rPr>
          <w:szCs w:val="24"/>
        </w:rPr>
        <w:t>Brillouin</w:t>
      </w:r>
      <w:proofErr w:type="spellEnd"/>
      <w:r w:rsidRPr="009E55DA">
        <w:rPr>
          <w:szCs w:val="24"/>
        </w:rPr>
        <w:t xml:space="preserve"> zone integration was performed at 8x8x8 k-point meshes</w:t>
      </w:r>
      <w:r w:rsidR="00F23779">
        <w:rPr>
          <w:noProof/>
          <w:szCs w:val="24"/>
          <w:lang w:val="en-US"/>
        </w:rPr>
        <w:t xml:space="preserve"> (Monkhorst &amp; Pack</w:t>
      </w:r>
      <w:r w:rsidR="00F23779" w:rsidRPr="00F23779">
        <w:rPr>
          <w:noProof/>
          <w:szCs w:val="24"/>
          <w:lang w:val="en-US"/>
        </w:rPr>
        <w:t>, 2005)</w:t>
      </w:r>
      <w:r>
        <w:rPr>
          <w:szCs w:val="24"/>
        </w:rPr>
        <w:t>. Post-</w:t>
      </w:r>
      <w:r w:rsidRPr="009E55DA">
        <w:rPr>
          <w:szCs w:val="24"/>
        </w:rPr>
        <w:t>pro</w:t>
      </w:r>
      <w:r>
        <w:rPr>
          <w:szCs w:val="24"/>
        </w:rPr>
        <w:t>cessing of data in this paper was done using the Thermo-</w:t>
      </w:r>
      <w:proofErr w:type="spellStart"/>
      <w:r>
        <w:rPr>
          <w:szCs w:val="24"/>
        </w:rPr>
        <w:t>p</w:t>
      </w:r>
      <w:r w:rsidRPr="009E55DA">
        <w:rPr>
          <w:szCs w:val="24"/>
        </w:rPr>
        <w:t>w</w:t>
      </w:r>
      <w:proofErr w:type="spellEnd"/>
      <w:r w:rsidRPr="009E55DA">
        <w:rPr>
          <w:szCs w:val="24"/>
        </w:rPr>
        <w:t xml:space="preserve"> software</w:t>
      </w:r>
      <w:r>
        <w:rPr>
          <w:szCs w:val="24"/>
        </w:rPr>
        <w:t xml:space="preserve">. </w:t>
      </w:r>
      <w:r>
        <w:rPr>
          <w:rFonts w:eastAsia="Calibri"/>
        </w:rPr>
        <w:t>We</w:t>
      </w:r>
      <w:r w:rsidRPr="00433200">
        <w:rPr>
          <w:rFonts w:eastAsia="Calibri"/>
        </w:rPr>
        <w:t xml:space="preserve"> obtained our results by fitting the energy-volume data to t</w:t>
      </w:r>
      <w:r>
        <w:rPr>
          <w:rFonts w:eastAsia="Calibri"/>
        </w:rPr>
        <w:t xml:space="preserve">he </w:t>
      </w:r>
      <w:proofErr w:type="spellStart"/>
      <w:r>
        <w:rPr>
          <w:rFonts w:eastAsia="Calibri"/>
        </w:rPr>
        <w:t>Murnaghan</w:t>
      </w:r>
      <w:proofErr w:type="spellEnd"/>
      <w:r>
        <w:rPr>
          <w:rFonts w:eastAsia="Calibri"/>
        </w:rPr>
        <w:t xml:space="preserve"> equation of state</w:t>
      </w:r>
      <w:r w:rsidR="00FE1DFB">
        <w:rPr>
          <w:rFonts w:eastAsia="Calibri"/>
          <w:noProof/>
          <w:lang w:val="en-US"/>
        </w:rPr>
        <w:t xml:space="preserve"> </w:t>
      </w:r>
      <w:r w:rsidR="00FE1DFB" w:rsidRPr="00FE1DFB">
        <w:rPr>
          <w:rFonts w:eastAsia="Calibri"/>
          <w:noProof/>
          <w:lang w:val="en-US"/>
        </w:rPr>
        <w:t>(Murnaghan, 1944)</w:t>
      </w:r>
      <w:r w:rsidRPr="00433200">
        <w:rPr>
          <w:rFonts w:eastAsia="Calibri"/>
        </w:rPr>
        <w:t xml:space="preserve">.  The energy- volume data were obtained as follows; the volume of </w:t>
      </w:r>
      <w:r>
        <w:rPr>
          <w:rFonts w:eastAsia="Calibri"/>
        </w:rPr>
        <w:t xml:space="preserve">the </w:t>
      </w:r>
      <w:r w:rsidRPr="00433200">
        <w:rPr>
          <w:rFonts w:eastAsia="Calibri"/>
        </w:rPr>
        <w:t>simple cubic structure of ScF</w:t>
      </w:r>
      <w:r w:rsidRPr="00433200">
        <w:rPr>
          <w:rFonts w:eastAsia="Calibri"/>
          <w:vertAlign w:val="subscript"/>
        </w:rPr>
        <w:t xml:space="preserve">3 </w:t>
      </w:r>
      <w:r w:rsidRPr="00433200">
        <w:rPr>
          <w:rFonts w:eastAsia="Calibri"/>
        </w:rPr>
        <w:t xml:space="preserve">was deformed by </w:t>
      </w:r>
      <w:r>
        <w:rPr>
          <w:rFonts w:eastAsia="Calibri"/>
        </w:rPr>
        <w:t xml:space="preserve">a </w:t>
      </w:r>
      <w:r w:rsidRPr="00433200">
        <w:rPr>
          <w:rFonts w:eastAsia="Calibri"/>
        </w:rPr>
        <w:t xml:space="preserve">single parameter </w:t>
      </w:r>
      <w:r w:rsidRPr="00433200">
        <w:rPr>
          <w:rFonts w:eastAsia="Calibri"/>
          <w:position w:val="-6"/>
        </w:rPr>
        <w:object w:dxaOrig="200" w:dyaOrig="220">
          <v:shape id="_x0000_i1045" type="#_x0000_t75" style="width:9.75pt;height:11.25pt" o:ole="">
            <v:imagedata r:id="rId51" o:title=""/>
          </v:shape>
          <o:OLEObject Type="Embed" ProgID="Equation.3" ShapeID="_x0000_i1045" DrawAspect="Content" ObjectID="_1597226047" r:id="rId52"/>
        </w:object>
      </w:r>
      <w:r w:rsidRPr="00433200">
        <w:rPr>
          <w:rFonts w:eastAsia="Calibri"/>
        </w:rPr>
        <w:t xml:space="preserve"> </w:t>
      </w:r>
      <w:r>
        <w:rPr>
          <w:rFonts w:eastAsia="Calibri"/>
        </w:rPr>
        <w:t>such that the lattice spacing was</w:t>
      </w:r>
      <w:r w:rsidRPr="00433200">
        <w:rPr>
          <w:rFonts w:eastAsia="Calibri"/>
        </w:rPr>
        <w:t xml:space="preserve"> defined as </w:t>
      </w:r>
      <w:r w:rsidRPr="00433200">
        <w:rPr>
          <w:rFonts w:eastAsia="Calibri"/>
          <w:position w:val="-12"/>
        </w:rPr>
        <w:object w:dxaOrig="1579" w:dyaOrig="360">
          <v:shape id="_x0000_i1046" type="#_x0000_t75" style="width:78.7pt;height:18pt" o:ole="">
            <v:imagedata r:id="rId53" o:title=""/>
          </v:shape>
          <o:OLEObject Type="Embed" ProgID="Equation.3" ShapeID="_x0000_i1046" DrawAspect="Content" ObjectID="_1597226048" r:id="rId54"/>
        </w:object>
      </w:r>
      <w:r w:rsidRPr="00433200">
        <w:rPr>
          <w:rFonts w:eastAsia="Calibri"/>
        </w:rPr>
        <w:t xml:space="preserve"> where </w:t>
      </w:r>
      <w:r w:rsidRPr="00433200">
        <w:rPr>
          <w:rFonts w:eastAsia="Calibri"/>
          <w:position w:val="-12"/>
        </w:rPr>
        <w:object w:dxaOrig="279" w:dyaOrig="360">
          <v:shape id="_x0000_i1047" type="#_x0000_t75" style="width:14.25pt;height:18pt" o:ole="">
            <v:imagedata r:id="rId55" o:title=""/>
          </v:shape>
          <o:OLEObject Type="Embed" ProgID="Equation.3" ShapeID="_x0000_i1047" DrawAspect="Content" ObjectID="_1597226049" r:id="rId56"/>
        </w:object>
      </w:r>
      <w:r>
        <w:rPr>
          <w:rFonts w:eastAsia="Calibri"/>
        </w:rPr>
        <w:t xml:space="preserve"> was</w:t>
      </w:r>
      <w:r w:rsidRPr="00433200">
        <w:rPr>
          <w:rFonts w:eastAsia="Calibri"/>
        </w:rPr>
        <w:t xml:space="preserve"> the theoretical equilibrium parameter that was extracted from Materials project</w:t>
      </w:r>
      <w:r>
        <w:rPr>
          <w:rFonts w:eastAsia="Calibri"/>
        </w:rPr>
        <w:t xml:space="preserve"> database</w:t>
      </w:r>
      <w:r w:rsidR="00FF2094">
        <w:rPr>
          <w:rFonts w:eastAsia="Calibri"/>
          <w:noProof/>
          <w:lang w:val="en-US"/>
        </w:rPr>
        <w:t xml:space="preserve"> (Jain </w:t>
      </w:r>
      <w:r w:rsidR="00FF2094" w:rsidRPr="00FF2094">
        <w:rPr>
          <w:rFonts w:eastAsia="Calibri"/>
          <w:i/>
          <w:noProof/>
          <w:lang w:val="en-US"/>
        </w:rPr>
        <w:t>et al</w:t>
      </w:r>
      <w:r w:rsidR="00FF2094" w:rsidRPr="00FF2094">
        <w:rPr>
          <w:rFonts w:eastAsia="Calibri"/>
          <w:noProof/>
          <w:lang w:val="en-US"/>
        </w:rPr>
        <w:t>, 2013)</w:t>
      </w:r>
      <w:r w:rsidRPr="00433200">
        <w:rPr>
          <w:rFonts w:eastAsia="Calibri"/>
        </w:rPr>
        <w:t xml:space="preserve">.  We then fitted </w:t>
      </w:r>
      <w:r>
        <w:rPr>
          <w:rFonts w:eastAsia="Calibri"/>
        </w:rPr>
        <w:t xml:space="preserve">to </w:t>
      </w:r>
      <w:r w:rsidRPr="00433200">
        <w:rPr>
          <w:rFonts w:eastAsia="Calibri"/>
        </w:rPr>
        <w:t xml:space="preserve">the </w:t>
      </w:r>
      <w:proofErr w:type="spellStart"/>
      <w:r w:rsidRPr="00433200">
        <w:rPr>
          <w:rFonts w:eastAsia="Calibri"/>
        </w:rPr>
        <w:t>Murnaghan</w:t>
      </w:r>
      <w:proofErr w:type="spellEnd"/>
      <w:r>
        <w:rPr>
          <w:rFonts w:eastAsia="Calibri"/>
        </w:rPr>
        <w:t xml:space="preserve"> equation of state </w:t>
      </w:r>
      <w:r w:rsidRPr="00433200">
        <w:rPr>
          <w:rFonts w:eastAsia="Calibri"/>
        </w:rPr>
        <w:t>a series of total energy values</w:t>
      </w:r>
      <w:r>
        <w:rPr>
          <w:rFonts w:eastAsia="Calibri"/>
        </w:rPr>
        <w:t xml:space="preserve"> </w:t>
      </w:r>
      <w:r w:rsidRPr="008950F7">
        <w:rPr>
          <w:rFonts w:eastAsia="Calibri"/>
        </w:rPr>
        <w:t xml:space="preserve">for 21 sets of volumes with </w:t>
      </w:r>
      <w:r w:rsidRPr="008950F7">
        <w:rPr>
          <w:rFonts w:eastAsia="Calibri"/>
          <w:position w:val="-6"/>
        </w:rPr>
        <w:object w:dxaOrig="200" w:dyaOrig="220">
          <v:shape id="_x0000_i1048" type="#_x0000_t75" style="width:9.75pt;height:11.25pt" o:ole="">
            <v:imagedata r:id="rId57" o:title=""/>
          </v:shape>
          <o:OLEObject Type="Embed" ProgID="Equation.3" ShapeID="_x0000_i1048" DrawAspect="Content" ObjectID="_1597226050" r:id="rId58"/>
        </w:object>
      </w:r>
      <w:r w:rsidRPr="008950F7">
        <w:rPr>
          <w:rFonts w:eastAsia="Calibri"/>
        </w:rPr>
        <w:t xml:space="preserve"> ranging from -0.05 to +0.05 in steps of +0.005. </w:t>
      </w:r>
    </w:p>
    <w:p w:rsidR="00100290" w:rsidRDefault="00100290" w:rsidP="00100290">
      <w:pPr>
        <w:pStyle w:val="Heading2"/>
        <w:numPr>
          <w:ilvl w:val="1"/>
          <w:numId w:val="1"/>
        </w:numPr>
        <w:rPr>
          <w:b/>
        </w:rPr>
      </w:pPr>
      <w:r w:rsidRPr="00E540B2">
        <w:rPr>
          <w:b/>
        </w:rPr>
        <w:t>–</w:t>
      </w:r>
      <w:r>
        <w:rPr>
          <w:b/>
        </w:rPr>
        <w:t xml:space="preserve"> Computational results</w:t>
      </w:r>
      <w:r w:rsidR="009B48B7">
        <w:rPr>
          <w:b/>
        </w:rPr>
        <w:t xml:space="preserve"> in comparison to experimental and other studies.</w:t>
      </w:r>
    </w:p>
    <w:p w:rsidR="00E7297C" w:rsidRPr="00E7297C" w:rsidRDefault="00E7297C" w:rsidP="00E7297C">
      <w:pPr>
        <w:jc w:val="both"/>
        <w:rPr>
          <w:i/>
          <w:szCs w:val="24"/>
        </w:rPr>
      </w:pPr>
      <w:r w:rsidRPr="006B58E9">
        <w:rPr>
          <w:b/>
          <w:i/>
          <w:szCs w:val="24"/>
        </w:rPr>
        <w:t>Table 1</w:t>
      </w:r>
      <w:r>
        <w:rPr>
          <w:i/>
          <w:szCs w:val="24"/>
        </w:rPr>
        <w:t xml:space="preserve">: </w:t>
      </w:r>
      <w:r w:rsidRPr="006B58E9">
        <w:rPr>
          <w:i/>
          <w:szCs w:val="24"/>
        </w:rPr>
        <w:t>Indicating the calculated values of the lattice parameter, Bulk modulus, the first pressure derivative the Volume per atom,</w:t>
      </w:r>
      <w:r>
        <w:rPr>
          <w:i/>
          <w:szCs w:val="24"/>
        </w:rPr>
        <w:t xml:space="preserve"> minimum energy</w:t>
      </w:r>
      <w:r w:rsidRPr="006B58E9">
        <w:rPr>
          <w:i/>
          <w:szCs w:val="24"/>
        </w:rPr>
        <w:t xml:space="preserve"> </w:t>
      </w:r>
      <w:r>
        <w:rPr>
          <w:i/>
          <w:szCs w:val="24"/>
        </w:rPr>
        <w:t xml:space="preserve">and the </w:t>
      </w:r>
      <w:r w:rsidRPr="006B58E9">
        <w:rPr>
          <w:i/>
          <w:szCs w:val="24"/>
        </w:rPr>
        <w:t>Bond length</w:t>
      </w:r>
      <w:r>
        <w:rPr>
          <w:i/>
          <w:szCs w:val="24"/>
        </w:rPr>
        <w:t>s</w:t>
      </w:r>
      <w:r w:rsidRPr="006B58E9">
        <w:rPr>
          <w:i/>
          <w:szCs w:val="24"/>
        </w:rPr>
        <w:t xml:space="preserve"> of </w:t>
      </w:r>
      <w:r w:rsidRPr="00E7297C">
        <w:rPr>
          <w:rFonts w:eastAsia="Calibri"/>
          <w:i/>
          <w:szCs w:val="24"/>
          <w:lang w:val="en-US"/>
        </w:rPr>
        <w:t>ScF</w:t>
      </w:r>
      <w:r w:rsidRPr="00E7297C">
        <w:rPr>
          <w:rFonts w:eastAsia="Calibri"/>
          <w:i/>
          <w:szCs w:val="24"/>
          <w:vertAlign w:val="subscript"/>
          <w:lang w:val="en-US"/>
        </w:rPr>
        <w:t xml:space="preserve">3 </w:t>
      </w:r>
      <w:r w:rsidRPr="00E7297C">
        <w:rPr>
          <w:rFonts w:eastAsia="Calibri"/>
          <w:i/>
          <w:szCs w:val="24"/>
          <w:lang w:val="en-US"/>
        </w:rPr>
        <w:t>using different exchange correlations (XC)</w:t>
      </w:r>
    </w:p>
    <w:p w:rsidR="00100290" w:rsidRPr="00100290" w:rsidRDefault="00100290" w:rsidP="00100290"/>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260"/>
        <w:gridCol w:w="839"/>
        <w:gridCol w:w="1080"/>
        <w:gridCol w:w="810"/>
        <w:gridCol w:w="630"/>
        <w:gridCol w:w="1260"/>
        <w:gridCol w:w="961"/>
        <w:gridCol w:w="1350"/>
      </w:tblGrid>
      <w:tr w:rsidR="005711C0" w:rsidRPr="00572134" w:rsidTr="005711C0">
        <w:trPr>
          <w:trHeight w:val="956"/>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Exchange</w:t>
            </w:r>
          </w:p>
          <w:p w:rsidR="005711C0" w:rsidRPr="00F9653D" w:rsidRDefault="005711C0" w:rsidP="00F9653D">
            <w:pPr>
              <w:jc w:val="center"/>
              <w:rPr>
                <w:rFonts w:eastAsia="Calibri"/>
                <w:sz w:val="22"/>
                <w:szCs w:val="22"/>
              </w:rPr>
            </w:pPr>
            <w:r w:rsidRPr="00F9653D">
              <w:rPr>
                <w:rFonts w:eastAsia="Calibri"/>
                <w:sz w:val="22"/>
                <w:szCs w:val="22"/>
              </w:rPr>
              <w:t>Correlation</w:t>
            </w:r>
          </w:p>
          <w:p w:rsidR="005711C0" w:rsidRPr="00F9653D" w:rsidRDefault="005711C0" w:rsidP="00F9653D">
            <w:pPr>
              <w:jc w:val="center"/>
              <w:rPr>
                <w:rFonts w:eastAsia="Calibri"/>
                <w:sz w:val="22"/>
                <w:szCs w:val="22"/>
              </w:rPr>
            </w:pP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Reference</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b/>
                <w:bCs/>
                <w:position w:val="-12"/>
                <w:sz w:val="22"/>
                <w:szCs w:val="22"/>
              </w:rPr>
              <w:object w:dxaOrig="279" w:dyaOrig="360">
                <v:shape id="_x0000_i1049" type="#_x0000_t75" style="width:14.25pt;height:18pt" o:ole="">
                  <v:imagedata r:id="rId59" o:title=""/>
                </v:shape>
                <o:OLEObject Type="Embed" ProgID="Equation.3" ShapeID="_x0000_i1049" DrawAspect="Content" ObjectID="_1597226051" r:id="rId60"/>
              </w:object>
            </w:r>
            <w:r w:rsidRPr="00F9653D">
              <w:rPr>
                <w:rFonts w:eastAsia="Calibri"/>
                <w:sz w:val="22"/>
                <w:szCs w:val="22"/>
              </w:rPr>
              <w:t>(Å)</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w:t>
            </w:r>
            <w:proofErr w:type="spellStart"/>
            <w:r w:rsidRPr="00F9653D">
              <w:rPr>
                <w:rFonts w:eastAsia="Calibri"/>
                <w:sz w:val="22"/>
                <w:szCs w:val="22"/>
              </w:rPr>
              <w:t>Dev</w:t>
            </w:r>
            <w:proofErr w:type="spellEnd"/>
            <w:r w:rsidRPr="00F9653D">
              <w:rPr>
                <w:rFonts w:eastAsia="Calibri"/>
                <w:sz w:val="22"/>
                <w:szCs w:val="22"/>
              </w:rPr>
              <w:t>|</w:t>
            </w:r>
          </w:p>
          <w:p w:rsidR="005711C0" w:rsidRPr="00F9653D" w:rsidRDefault="005711C0" w:rsidP="00F9653D">
            <w:pPr>
              <w:jc w:val="center"/>
              <w:rPr>
                <w:rFonts w:eastAsia="Calibri"/>
                <w:sz w:val="22"/>
                <w:szCs w:val="22"/>
              </w:rPr>
            </w:pPr>
            <w:r w:rsidRPr="00F9653D">
              <w:rPr>
                <w:rFonts w:eastAsia="Calibri"/>
                <w:sz w:val="22"/>
                <w:szCs w:val="22"/>
              </w:rPr>
              <w:t xml:space="preserve">Of </w:t>
            </w:r>
          </w:p>
          <w:p w:rsidR="005711C0" w:rsidRPr="00F9653D" w:rsidRDefault="005711C0" w:rsidP="00F9653D">
            <w:pPr>
              <w:jc w:val="center"/>
              <w:rPr>
                <w:rFonts w:eastAsia="Calibri"/>
                <w:sz w:val="22"/>
                <w:szCs w:val="22"/>
              </w:rPr>
            </w:pPr>
            <w:r w:rsidRPr="00F9653D">
              <w:rPr>
                <w:rFonts w:eastAsia="Calibri"/>
                <w:b/>
                <w:bCs/>
                <w:position w:val="-12"/>
                <w:sz w:val="22"/>
                <w:szCs w:val="22"/>
              </w:rPr>
              <w:object w:dxaOrig="279" w:dyaOrig="360">
                <v:shape id="_x0000_i1050" type="#_x0000_t75" style="width:14.25pt;height:18pt" o:ole="">
                  <v:imagedata r:id="rId59" o:title=""/>
                </v:shape>
                <o:OLEObject Type="Embed" ProgID="Equation.3" ShapeID="_x0000_i1050" DrawAspect="Content" ObjectID="_1597226052" r:id="rId61"/>
              </w:objec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B</w:t>
            </w:r>
            <w:r w:rsidRPr="00F9653D">
              <w:rPr>
                <w:rFonts w:eastAsia="Calibri"/>
                <w:sz w:val="22"/>
                <w:szCs w:val="22"/>
                <w:vertAlign w:val="subscript"/>
              </w:rPr>
              <w:t>0</w:t>
            </w:r>
            <w:r w:rsidRPr="00F9653D">
              <w:rPr>
                <w:rFonts w:eastAsia="Calibri"/>
                <w:sz w:val="22"/>
                <w:szCs w:val="22"/>
              </w:rPr>
              <w:t xml:space="preserve"> (</w:t>
            </w:r>
            <w:proofErr w:type="spellStart"/>
            <w:r w:rsidRPr="00F9653D">
              <w:rPr>
                <w:rFonts w:eastAsia="Calibri"/>
                <w:sz w:val="22"/>
                <w:szCs w:val="22"/>
              </w:rPr>
              <w:t>GPa</w:t>
            </w:r>
            <w:proofErr w:type="spellEnd"/>
            <w:r w:rsidRPr="00F9653D">
              <w:rPr>
                <w:rFonts w:eastAsia="Calibri"/>
                <w:sz w:val="22"/>
                <w:szCs w:val="22"/>
              </w:rPr>
              <w:t>)</w:t>
            </w:r>
          </w:p>
        </w:tc>
        <w:tc>
          <w:tcPr>
            <w:tcW w:w="630" w:type="dxa"/>
            <w:shd w:val="clear" w:color="auto" w:fill="auto"/>
          </w:tcPr>
          <w:p w:rsidR="005711C0" w:rsidRPr="00F9653D" w:rsidRDefault="005711C0" w:rsidP="00F9653D">
            <w:pPr>
              <w:jc w:val="center"/>
              <w:rPr>
                <w:rFonts w:eastAsia="Calibri"/>
                <w:sz w:val="22"/>
                <w:szCs w:val="22"/>
              </w:rPr>
            </w:pPr>
            <w:r w:rsidRPr="00F9653D">
              <w:rPr>
                <w:rFonts w:eastAsia="Calibri"/>
                <w:position w:val="-12"/>
                <w:sz w:val="22"/>
                <w:szCs w:val="22"/>
              </w:rPr>
              <w:object w:dxaOrig="300" w:dyaOrig="360">
                <v:shape id="_x0000_i1051" type="#_x0000_t75" style="width:15pt;height:18pt" o:ole="">
                  <v:imagedata r:id="rId62" o:title=""/>
                </v:shape>
                <o:OLEObject Type="Embed" ProgID="Equation.3" ShapeID="_x0000_i1051" DrawAspect="Content" ObjectID="_1597226053" r:id="rId63"/>
              </w:object>
            </w:r>
          </w:p>
        </w:tc>
        <w:tc>
          <w:tcPr>
            <w:tcW w:w="1260" w:type="dxa"/>
            <w:shd w:val="clear" w:color="auto" w:fill="auto"/>
          </w:tcPr>
          <w:p w:rsidR="005711C0" w:rsidRPr="00F9653D" w:rsidRDefault="005711C0" w:rsidP="00F9653D">
            <w:pPr>
              <w:jc w:val="center"/>
              <w:rPr>
                <w:rFonts w:eastAsia="Calibri"/>
                <w:b/>
                <w:bCs/>
                <w:sz w:val="22"/>
                <w:szCs w:val="22"/>
              </w:rPr>
            </w:pPr>
            <w:r w:rsidRPr="00F9653D">
              <w:rPr>
                <w:rFonts w:eastAsia="Calibri"/>
                <w:sz w:val="22"/>
                <w:szCs w:val="22"/>
              </w:rPr>
              <w:t>Volume per atom (Å</w:t>
            </w:r>
            <w:r w:rsidRPr="00F9653D">
              <w:rPr>
                <w:rFonts w:eastAsia="Calibri"/>
                <w:sz w:val="22"/>
                <w:szCs w:val="22"/>
                <w:vertAlign w:val="superscript"/>
              </w:rPr>
              <w:t>3</w:t>
            </w:r>
            <w:r w:rsidRPr="00F9653D">
              <w:rPr>
                <w:rFonts w:eastAsia="Calibri"/>
                <w:sz w:val="22"/>
                <w:szCs w:val="22"/>
              </w:rPr>
              <w:t>)</w:t>
            </w:r>
          </w:p>
          <w:p w:rsidR="005711C0" w:rsidRPr="00F9653D" w:rsidRDefault="005711C0" w:rsidP="00F9653D">
            <w:pPr>
              <w:jc w:val="center"/>
              <w:rPr>
                <w:rFonts w:eastAsia="Calibri"/>
                <w:sz w:val="22"/>
                <w:szCs w:val="22"/>
              </w:rPr>
            </w:pPr>
          </w:p>
        </w:tc>
        <w:tc>
          <w:tcPr>
            <w:tcW w:w="961"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E</w:t>
            </w:r>
            <w:r w:rsidRPr="00F9653D">
              <w:rPr>
                <w:rFonts w:eastAsia="Calibri"/>
                <w:sz w:val="22"/>
                <w:szCs w:val="22"/>
                <w:vertAlign w:val="subscript"/>
              </w:rPr>
              <w:t xml:space="preserve">0 </w:t>
            </w:r>
            <w:r w:rsidRPr="00F9653D">
              <w:rPr>
                <w:rFonts w:eastAsia="Calibri"/>
                <w:sz w:val="22"/>
                <w:szCs w:val="22"/>
              </w:rPr>
              <w:t>(</w:t>
            </w:r>
            <w:proofErr w:type="spellStart"/>
            <w:r w:rsidRPr="00F9653D">
              <w:rPr>
                <w:rFonts w:eastAsia="Calibri"/>
                <w:sz w:val="22"/>
                <w:szCs w:val="22"/>
              </w:rPr>
              <w:t>Ry</w:t>
            </w:r>
            <w:proofErr w:type="spellEnd"/>
            <w:r w:rsidRPr="00F9653D">
              <w:rPr>
                <w:rFonts w:eastAsia="Calibri"/>
                <w:sz w:val="22"/>
                <w:szCs w:val="22"/>
              </w:rPr>
              <w:t>)</w:t>
            </w: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Bond length</w:t>
            </w:r>
          </w:p>
          <w:p w:rsidR="005711C0" w:rsidRPr="00F9653D" w:rsidRDefault="005711C0" w:rsidP="00F9653D">
            <w:pPr>
              <w:jc w:val="center"/>
              <w:rPr>
                <w:rFonts w:eastAsia="Calibri"/>
                <w:sz w:val="22"/>
                <w:szCs w:val="22"/>
              </w:rPr>
            </w:pPr>
            <w:proofErr w:type="spellStart"/>
            <w:r w:rsidRPr="00F9653D">
              <w:rPr>
                <w:rFonts w:eastAsia="Calibri"/>
                <w:sz w:val="22"/>
                <w:szCs w:val="22"/>
              </w:rPr>
              <w:t>Sc</w:t>
            </w:r>
            <w:proofErr w:type="spellEnd"/>
            <w:r w:rsidRPr="00F9653D">
              <w:rPr>
                <w:rFonts w:eastAsia="Calibri"/>
                <w:sz w:val="22"/>
                <w:szCs w:val="22"/>
              </w:rPr>
              <w:t>-F</w:t>
            </w:r>
          </w:p>
          <w:p w:rsidR="005711C0" w:rsidRPr="00F9653D" w:rsidRDefault="005711C0" w:rsidP="00F9653D">
            <w:pPr>
              <w:jc w:val="center"/>
              <w:rPr>
                <w:rFonts w:eastAsia="Calibri"/>
                <w:sz w:val="22"/>
                <w:szCs w:val="22"/>
              </w:rPr>
            </w:pPr>
            <w:r w:rsidRPr="00F9653D">
              <w:rPr>
                <w:rFonts w:eastAsia="Calibri"/>
                <w:sz w:val="22"/>
                <w:szCs w:val="22"/>
              </w:rPr>
              <w:t>(Å)</w:t>
            </w:r>
          </w:p>
        </w:tc>
      </w:tr>
      <w:tr w:rsidR="005711C0" w:rsidRPr="00572134" w:rsidTr="005711C0">
        <w:trPr>
          <w:trHeight w:val="261"/>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PBE</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This work</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4.06</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0.74%</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92.8</w:t>
            </w:r>
          </w:p>
        </w:tc>
        <w:tc>
          <w:tcPr>
            <w:tcW w:w="63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4.31</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16.67</w:t>
            </w:r>
          </w:p>
        </w:tc>
        <w:tc>
          <w:tcPr>
            <w:tcW w:w="961"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-335.73</w:t>
            </w: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2.03</w:t>
            </w:r>
          </w:p>
        </w:tc>
      </w:tr>
      <w:tr w:rsidR="005711C0" w:rsidRPr="00572134" w:rsidTr="005711C0">
        <w:trPr>
          <w:trHeight w:val="248"/>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PBESOL</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This work</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4.01</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0.05%</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99.7</w:t>
            </w:r>
          </w:p>
        </w:tc>
        <w:tc>
          <w:tcPr>
            <w:tcW w:w="63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4.48</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16.15</w:t>
            </w:r>
          </w:p>
        </w:tc>
        <w:tc>
          <w:tcPr>
            <w:tcW w:w="961"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-332.10</w:t>
            </w: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2.01</w:t>
            </w:r>
          </w:p>
        </w:tc>
      </w:tr>
      <w:tr w:rsidR="005711C0" w:rsidRPr="00572134" w:rsidTr="005711C0">
        <w:trPr>
          <w:trHeight w:val="261"/>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PW91</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This work</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4.05</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0.49%</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93.9</w:t>
            </w:r>
          </w:p>
        </w:tc>
        <w:tc>
          <w:tcPr>
            <w:tcW w:w="63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4.31</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16.50</w:t>
            </w:r>
          </w:p>
        </w:tc>
        <w:tc>
          <w:tcPr>
            <w:tcW w:w="961"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-336.62</w:t>
            </w: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2.03</w:t>
            </w:r>
          </w:p>
        </w:tc>
      </w:tr>
      <w:tr w:rsidR="005711C0" w:rsidRPr="00572134" w:rsidTr="005711C0">
        <w:trPr>
          <w:trHeight w:val="248"/>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PZ</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This work</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3.96</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1.74%</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110.2</w:t>
            </w:r>
          </w:p>
        </w:tc>
        <w:tc>
          <w:tcPr>
            <w:tcW w:w="63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4.67</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15.62</w:t>
            </w:r>
          </w:p>
        </w:tc>
        <w:tc>
          <w:tcPr>
            <w:tcW w:w="961"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-328.87</w:t>
            </w: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1.98</w:t>
            </w:r>
          </w:p>
        </w:tc>
      </w:tr>
      <w:tr w:rsidR="005711C0" w:rsidRPr="00572134" w:rsidTr="005711C0">
        <w:trPr>
          <w:trHeight w:val="248"/>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WC</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This work</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4.01</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0.05%</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99.4</w:t>
            </w:r>
          </w:p>
        </w:tc>
        <w:tc>
          <w:tcPr>
            <w:tcW w:w="63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4.48</w:t>
            </w: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16.17</w:t>
            </w:r>
          </w:p>
        </w:tc>
        <w:tc>
          <w:tcPr>
            <w:tcW w:w="961"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-334.18</w:t>
            </w: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2.01</w:t>
            </w:r>
          </w:p>
        </w:tc>
      </w:tr>
      <w:tr w:rsidR="005711C0" w:rsidRPr="00572134" w:rsidTr="005711C0">
        <w:trPr>
          <w:trHeight w:val="225"/>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EXPERIMENT</w:t>
            </w:r>
          </w:p>
        </w:tc>
        <w:tc>
          <w:tcPr>
            <w:tcW w:w="1260" w:type="dxa"/>
            <w:shd w:val="clear" w:color="auto" w:fill="auto"/>
          </w:tcPr>
          <w:p w:rsidR="005711C0" w:rsidRPr="00F9653D" w:rsidRDefault="00515121" w:rsidP="00030A71">
            <w:pPr>
              <w:jc w:val="center"/>
              <w:rPr>
                <w:rFonts w:eastAsia="Calibri"/>
                <w:sz w:val="22"/>
                <w:szCs w:val="22"/>
              </w:rPr>
            </w:pPr>
            <w:r>
              <w:rPr>
                <w:rFonts w:eastAsia="Calibri"/>
                <w:noProof/>
                <w:szCs w:val="22"/>
                <w:lang w:val="en-US"/>
              </w:rPr>
              <w:t>a</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4.03</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88.8</w:t>
            </w:r>
          </w:p>
        </w:tc>
        <w:tc>
          <w:tcPr>
            <w:tcW w:w="630" w:type="dxa"/>
            <w:shd w:val="clear" w:color="auto" w:fill="auto"/>
          </w:tcPr>
          <w:p w:rsidR="005711C0" w:rsidRPr="00F9653D" w:rsidRDefault="005711C0" w:rsidP="00F9653D">
            <w:pPr>
              <w:jc w:val="center"/>
              <w:rPr>
                <w:rFonts w:eastAsia="Calibri"/>
                <w:sz w:val="22"/>
                <w:szCs w:val="22"/>
              </w:rPr>
            </w:pP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16.36</w:t>
            </w:r>
          </w:p>
        </w:tc>
        <w:tc>
          <w:tcPr>
            <w:tcW w:w="961" w:type="dxa"/>
            <w:shd w:val="clear" w:color="auto" w:fill="auto"/>
          </w:tcPr>
          <w:p w:rsidR="005711C0" w:rsidRPr="00F9653D" w:rsidRDefault="005711C0" w:rsidP="00F9653D">
            <w:pPr>
              <w:jc w:val="center"/>
              <w:rPr>
                <w:rFonts w:eastAsia="Calibri"/>
                <w:sz w:val="22"/>
                <w:szCs w:val="22"/>
              </w:rPr>
            </w:pP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2.01</w:t>
            </w:r>
          </w:p>
        </w:tc>
      </w:tr>
      <w:tr w:rsidR="005711C0" w:rsidRPr="00572134" w:rsidTr="005711C0">
        <w:trPr>
          <w:trHeight w:val="86"/>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PBE</w:t>
            </w:r>
          </w:p>
        </w:tc>
        <w:tc>
          <w:tcPr>
            <w:tcW w:w="1260" w:type="dxa"/>
            <w:shd w:val="clear" w:color="auto" w:fill="auto"/>
          </w:tcPr>
          <w:p w:rsidR="005711C0" w:rsidRPr="00F9653D" w:rsidRDefault="00515121" w:rsidP="00F9653D">
            <w:pPr>
              <w:jc w:val="center"/>
              <w:rPr>
                <w:rFonts w:eastAsia="Calibri"/>
                <w:sz w:val="22"/>
                <w:szCs w:val="22"/>
              </w:rPr>
            </w:pPr>
            <w:r>
              <w:rPr>
                <w:rFonts w:eastAsia="Calibri"/>
                <w:sz w:val="22"/>
                <w:szCs w:val="22"/>
              </w:rPr>
              <w:t>b</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4.03</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0.00%</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w:t>
            </w:r>
          </w:p>
        </w:tc>
        <w:tc>
          <w:tcPr>
            <w:tcW w:w="630" w:type="dxa"/>
            <w:shd w:val="clear" w:color="auto" w:fill="auto"/>
          </w:tcPr>
          <w:p w:rsidR="005711C0" w:rsidRPr="00F9653D" w:rsidRDefault="005711C0" w:rsidP="00F9653D">
            <w:pPr>
              <w:jc w:val="center"/>
              <w:rPr>
                <w:rFonts w:eastAsia="Calibri"/>
                <w:sz w:val="22"/>
                <w:szCs w:val="22"/>
              </w:rPr>
            </w:pP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16.36</w:t>
            </w:r>
          </w:p>
        </w:tc>
        <w:tc>
          <w:tcPr>
            <w:tcW w:w="961" w:type="dxa"/>
            <w:shd w:val="clear" w:color="auto" w:fill="auto"/>
          </w:tcPr>
          <w:p w:rsidR="005711C0" w:rsidRPr="00F9653D" w:rsidRDefault="005711C0" w:rsidP="00F9653D">
            <w:pPr>
              <w:jc w:val="center"/>
              <w:rPr>
                <w:rFonts w:eastAsia="Calibri"/>
                <w:sz w:val="22"/>
                <w:szCs w:val="22"/>
              </w:rPr>
            </w:pP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2.02</w:t>
            </w:r>
          </w:p>
        </w:tc>
      </w:tr>
      <w:tr w:rsidR="005711C0" w:rsidRPr="00572134" w:rsidTr="005711C0">
        <w:trPr>
          <w:trHeight w:val="86"/>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HF-DFT PBEO</w:t>
            </w:r>
          </w:p>
        </w:tc>
        <w:tc>
          <w:tcPr>
            <w:tcW w:w="1260" w:type="dxa"/>
            <w:shd w:val="clear" w:color="auto" w:fill="auto"/>
          </w:tcPr>
          <w:p w:rsidR="005711C0" w:rsidRPr="00F9653D" w:rsidRDefault="00515121" w:rsidP="00F9653D">
            <w:pPr>
              <w:jc w:val="center"/>
              <w:rPr>
                <w:rFonts w:eastAsia="Calibri"/>
                <w:sz w:val="22"/>
                <w:szCs w:val="22"/>
              </w:rPr>
            </w:pPr>
            <w:r>
              <w:rPr>
                <w:rFonts w:eastAsia="Calibri"/>
                <w:sz w:val="22"/>
                <w:szCs w:val="22"/>
              </w:rPr>
              <w:t>b</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4.05</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0.49%</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w:t>
            </w:r>
          </w:p>
        </w:tc>
        <w:tc>
          <w:tcPr>
            <w:tcW w:w="630" w:type="dxa"/>
            <w:shd w:val="clear" w:color="auto" w:fill="auto"/>
          </w:tcPr>
          <w:p w:rsidR="005711C0" w:rsidRPr="00F9653D" w:rsidRDefault="005711C0" w:rsidP="00F9653D">
            <w:pPr>
              <w:jc w:val="center"/>
              <w:rPr>
                <w:rFonts w:eastAsia="Calibri"/>
                <w:sz w:val="22"/>
                <w:szCs w:val="22"/>
              </w:rPr>
            </w:pP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16.61</w:t>
            </w:r>
          </w:p>
        </w:tc>
        <w:tc>
          <w:tcPr>
            <w:tcW w:w="961" w:type="dxa"/>
            <w:shd w:val="clear" w:color="auto" w:fill="auto"/>
          </w:tcPr>
          <w:p w:rsidR="005711C0" w:rsidRPr="00F9653D" w:rsidRDefault="005711C0" w:rsidP="00F9653D">
            <w:pPr>
              <w:jc w:val="center"/>
              <w:rPr>
                <w:rFonts w:eastAsia="Calibri"/>
                <w:sz w:val="22"/>
                <w:szCs w:val="22"/>
              </w:rPr>
            </w:pP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2.03</w:t>
            </w:r>
          </w:p>
        </w:tc>
      </w:tr>
      <w:tr w:rsidR="005711C0" w:rsidRPr="00572134" w:rsidTr="005711C0">
        <w:trPr>
          <w:trHeight w:val="86"/>
          <w:jc w:val="center"/>
        </w:trPr>
        <w:tc>
          <w:tcPr>
            <w:tcW w:w="162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LCAO method</w:t>
            </w:r>
          </w:p>
        </w:tc>
        <w:tc>
          <w:tcPr>
            <w:tcW w:w="1260" w:type="dxa"/>
            <w:shd w:val="clear" w:color="auto" w:fill="auto"/>
          </w:tcPr>
          <w:p w:rsidR="005711C0" w:rsidRPr="00F9653D" w:rsidRDefault="00515121" w:rsidP="00F9653D">
            <w:pPr>
              <w:jc w:val="center"/>
              <w:rPr>
                <w:rFonts w:eastAsia="Calibri"/>
                <w:sz w:val="22"/>
                <w:szCs w:val="22"/>
              </w:rPr>
            </w:pPr>
            <w:r>
              <w:rPr>
                <w:rFonts w:eastAsia="Calibri"/>
                <w:sz w:val="22"/>
                <w:szCs w:val="22"/>
              </w:rPr>
              <w:t>b</w:t>
            </w:r>
          </w:p>
        </w:tc>
        <w:tc>
          <w:tcPr>
            <w:tcW w:w="839"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4.03</w:t>
            </w:r>
          </w:p>
        </w:tc>
        <w:tc>
          <w:tcPr>
            <w:tcW w:w="108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0.00%</w:t>
            </w:r>
          </w:p>
        </w:tc>
        <w:tc>
          <w:tcPr>
            <w:tcW w:w="81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w:t>
            </w:r>
          </w:p>
        </w:tc>
        <w:tc>
          <w:tcPr>
            <w:tcW w:w="630" w:type="dxa"/>
            <w:shd w:val="clear" w:color="auto" w:fill="auto"/>
          </w:tcPr>
          <w:p w:rsidR="005711C0" w:rsidRPr="00F9653D" w:rsidRDefault="005711C0" w:rsidP="00F9653D">
            <w:pPr>
              <w:jc w:val="center"/>
              <w:rPr>
                <w:rFonts w:eastAsia="Calibri"/>
                <w:sz w:val="22"/>
                <w:szCs w:val="22"/>
              </w:rPr>
            </w:pPr>
          </w:p>
        </w:tc>
        <w:tc>
          <w:tcPr>
            <w:tcW w:w="126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16.36</w:t>
            </w:r>
          </w:p>
        </w:tc>
        <w:tc>
          <w:tcPr>
            <w:tcW w:w="961" w:type="dxa"/>
            <w:shd w:val="clear" w:color="auto" w:fill="auto"/>
          </w:tcPr>
          <w:p w:rsidR="005711C0" w:rsidRPr="00F9653D" w:rsidRDefault="005711C0" w:rsidP="00F9653D">
            <w:pPr>
              <w:jc w:val="center"/>
              <w:rPr>
                <w:rFonts w:eastAsia="Calibri"/>
                <w:sz w:val="22"/>
                <w:szCs w:val="22"/>
              </w:rPr>
            </w:pPr>
          </w:p>
        </w:tc>
        <w:tc>
          <w:tcPr>
            <w:tcW w:w="1350" w:type="dxa"/>
            <w:shd w:val="clear" w:color="auto" w:fill="auto"/>
          </w:tcPr>
          <w:p w:rsidR="005711C0" w:rsidRPr="00F9653D" w:rsidRDefault="005711C0" w:rsidP="00F9653D">
            <w:pPr>
              <w:jc w:val="center"/>
              <w:rPr>
                <w:rFonts w:eastAsia="Calibri"/>
                <w:sz w:val="22"/>
                <w:szCs w:val="22"/>
              </w:rPr>
            </w:pPr>
            <w:r w:rsidRPr="00F9653D">
              <w:rPr>
                <w:rFonts w:eastAsia="Calibri"/>
                <w:sz w:val="22"/>
                <w:szCs w:val="22"/>
              </w:rPr>
              <w:t>2.01</w:t>
            </w:r>
          </w:p>
        </w:tc>
      </w:tr>
    </w:tbl>
    <w:p w:rsidR="00030A71" w:rsidRDefault="00030A71" w:rsidP="006A7275">
      <w:pPr>
        <w:jc w:val="both"/>
      </w:pPr>
      <w:r>
        <w:t xml:space="preserve">References </w:t>
      </w:r>
    </w:p>
    <w:p w:rsidR="00030A71" w:rsidRDefault="00030A71" w:rsidP="006A7275">
      <w:pPr>
        <w:jc w:val="both"/>
        <w:rPr>
          <w:noProof/>
          <w:lang w:val="en-US"/>
        </w:rPr>
      </w:pPr>
      <w:r w:rsidRPr="00377D5F">
        <w:rPr>
          <w:noProof/>
          <w:vertAlign w:val="superscript"/>
          <w:lang w:val="en-US"/>
        </w:rPr>
        <w:t>a</w:t>
      </w:r>
      <w:r>
        <w:rPr>
          <w:noProof/>
          <w:lang w:val="en-US"/>
        </w:rPr>
        <w:t xml:space="preserve">Cody </w:t>
      </w:r>
      <w:r w:rsidRPr="00030A71">
        <w:rPr>
          <w:i/>
          <w:noProof/>
          <w:lang w:val="en-US"/>
        </w:rPr>
        <w:t>et al</w:t>
      </w:r>
      <w:r>
        <w:rPr>
          <w:noProof/>
          <w:lang w:val="en-US"/>
        </w:rPr>
        <w:t>, 2014</w:t>
      </w:r>
    </w:p>
    <w:p w:rsidR="00030A71" w:rsidRDefault="00030A71" w:rsidP="006A7275">
      <w:pPr>
        <w:jc w:val="both"/>
      </w:pPr>
      <w:r w:rsidRPr="00377D5F">
        <w:rPr>
          <w:noProof/>
          <w:vertAlign w:val="superscript"/>
          <w:lang w:val="en-US"/>
        </w:rPr>
        <w:t>b</w:t>
      </w:r>
      <w:r w:rsidR="00377D5F" w:rsidRPr="00377D5F">
        <w:rPr>
          <w:noProof/>
          <w:lang w:val="en-US"/>
        </w:rPr>
        <w:t>(Z</w:t>
      </w:r>
      <w:r w:rsidR="00377D5F">
        <w:rPr>
          <w:noProof/>
          <w:lang w:val="en-US"/>
        </w:rPr>
        <w:t xml:space="preserve">hgun </w:t>
      </w:r>
      <w:r w:rsidR="00377D5F" w:rsidRPr="00377D5F">
        <w:rPr>
          <w:i/>
          <w:noProof/>
          <w:lang w:val="en-US"/>
        </w:rPr>
        <w:t>et al</w:t>
      </w:r>
      <w:r w:rsidR="00377D5F">
        <w:rPr>
          <w:noProof/>
          <w:lang w:val="en-US"/>
        </w:rPr>
        <w:t xml:space="preserve">, </w:t>
      </w:r>
      <w:r w:rsidR="00377D5F" w:rsidRPr="00377D5F">
        <w:rPr>
          <w:noProof/>
          <w:lang w:val="en-US"/>
        </w:rPr>
        <w:t>2012)</w:t>
      </w:r>
    </w:p>
    <w:p w:rsidR="004B24B0" w:rsidRDefault="006A7275" w:rsidP="006A7275">
      <w:pPr>
        <w:jc w:val="both"/>
        <w:rPr>
          <w:szCs w:val="24"/>
        </w:rPr>
      </w:pPr>
      <w:r>
        <w:t xml:space="preserve">From table 1 above, </w:t>
      </w:r>
      <w:r>
        <w:rPr>
          <w:szCs w:val="24"/>
        </w:rPr>
        <w:t>the lattice parameter in the 5 XCs agreed well with the experimental data and past DFT calculations apart from PBE and PZ which gave a high and low l</w:t>
      </w:r>
      <w:r w:rsidR="00DB02EA">
        <w:rPr>
          <w:szCs w:val="24"/>
        </w:rPr>
        <w:t>attice constant.  The bond length</w:t>
      </w:r>
      <w:r w:rsidR="007C246C">
        <w:rPr>
          <w:szCs w:val="24"/>
        </w:rPr>
        <w:t>s</w:t>
      </w:r>
      <w:r w:rsidR="004E44B3">
        <w:rPr>
          <w:szCs w:val="24"/>
        </w:rPr>
        <w:t xml:space="preserve"> </w:t>
      </w:r>
      <w:r w:rsidR="007C246C">
        <w:rPr>
          <w:szCs w:val="24"/>
        </w:rPr>
        <w:t>were</w:t>
      </w:r>
      <w:r>
        <w:rPr>
          <w:szCs w:val="24"/>
        </w:rPr>
        <w:t xml:space="preserve"> similar in each simulation and agreed with the experiment. </w:t>
      </w:r>
      <w:r w:rsidR="008351CF">
        <w:rPr>
          <w:szCs w:val="24"/>
        </w:rPr>
        <w:t>It is g</w:t>
      </w:r>
      <w:r>
        <w:rPr>
          <w:szCs w:val="24"/>
        </w:rPr>
        <w:t>enerally</w:t>
      </w:r>
      <w:r w:rsidR="008351CF">
        <w:rPr>
          <w:szCs w:val="24"/>
        </w:rPr>
        <w:t xml:space="preserve"> well known that P</w:t>
      </w:r>
      <w:r>
        <w:rPr>
          <w:szCs w:val="24"/>
        </w:rPr>
        <w:t xml:space="preserve">BE and PZ predict ground state properties that are higher and lower respectively compared to the other exchange correlation </w:t>
      </w:r>
      <w:proofErr w:type="spellStart"/>
      <w:r>
        <w:rPr>
          <w:szCs w:val="24"/>
        </w:rPr>
        <w:t>functionals</w:t>
      </w:r>
      <w:proofErr w:type="spellEnd"/>
      <w:r w:rsidR="008351CF">
        <w:rPr>
          <w:noProof/>
          <w:szCs w:val="24"/>
          <w:lang w:val="en-US"/>
        </w:rPr>
        <w:t xml:space="preserve"> (Wu </w:t>
      </w:r>
      <w:r w:rsidR="008351CF" w:rsidRPr="008351CF">
        <w:rPr>
          <w:i/>
          <w:noProof/>
          <w:szCs w:val="24"/>
          <w:lang w:val="en-US"/>
        </w:rPr>
        <w:t>et al</w:t>
      </w:r>
      <w:r w:rsidR="008351CF" w:rsidRPr="008351CF">
        <w:rPr>
          <w:noProof/>
          <w:szCs w:val="24"/>
          <w:lang w:val="en-US"/>
        </w:rPr>
        <w:t>, 2004)</w:t>
      </w:r>
      <w:r>
        <w:rPr>
          <w:szCs w:val="24"/>
        </w:rPr>
        <w:t xml:space="preserve">. </w:t>
      </w:r>
      <w:r>
        <w:rPr>
          <w:szCs w:val="24"/>
        </w:rPr>
        <w:lastRenderedPageBreak/>
        <w:t xml:space="preserve">The lattice constant obtained in PBESOL and WC agrees </w:t>
      </w:r>
      <w:r w:rsidR="00191573">
        <w:rPr>
          <w:szCs w:val="24"/>
        </w:rPr>
        <w:t>perfectly to the experiment one thus making DFT a standard tool in material prediction.</w:t>
      </w:r>
    </w:p>
    <w:p w:rsidR="004B24B0" w:rsidRDefault="004B24B0" w:rsidP="004B24B0">
      <w:pPr>
        <w:pStyle w:val="Heading1"/>
        <w:numPr>
          <w:ilvl w:val="0"/>
          <w:numId w:val="1"/>
        </w:numPr>
      </w:pPr>
      <w:r>
        <w:t>Conclusion</w:t>
      </w:r>
    </w:p>
    <w:p w:rsidR="00995908" w:rsidRDefault="00995908" w:rsidP="004B24B0"/>
    <w:p w:rsidR="0040195F" w:rsidRDefault="002E4B83" w:rsidP="00995908">
      <w:pPr>
        <w:jc w:val="both"/>
      </w:pPr>
      <w:r>
        <w:t>The aim of this wo</w:t>
      </w:r>
      <w:r w:rsidR="002711BF">
        <w:t xml:space="preserve">rk was to illustrate the </w:t>
      </w:r>
      <w:r w:rsidR="000461D5">
        <w:t xml:space="preserve">inclusion of </w:t>
      </w:r>
      <w:r w:rsidR="00527616">
        <w:t>c</w:t>
      </w:r>
      <w:r>
        <w:t>omputational methods in material</w:t>
      </w:r>
      <w:r w:rsidR="00F42144">
        <w:t xml:space="preserve">s </w:t>
      </w:r>
      <w:r>
        <w:t xml:space="preserve">science. </w:t>
      </w:r>
      <w:r w:rsidR="00F42144">
        <w:t>Since</w:t>
      </w:r>
      <w:r w:rsidR="00B50353">
        <w:t xml:space="preserve"> </w:t>
      </w:r>
      <w:r w:rsidR="00F42144">
        <w:t xml:space="preserve">many </w:t>
      </w:r>
      <w:r w:rsidR="00B50353">
        <w:t>studies</w:t>
      </w:r>
      <w:r w:rsidR="00EA2407">
        <w:t xml:space="preserve"> </w:t>
      </w:r>
      <w:r w:rsidR="003071F7">
        <w:t>have gone a long</w:t>
      </w:r>
      <w:r w:rsidR="00F42144">
        <w:t xml:space="preserve"> way to illustrate the effectiveness of DFT as</w:t>
      </w:r>
      <w:r w:rsidR="00995908">
        <w:t xml:space="preserve"> a standa</w:t>
      </w:r>
      <w:r w:rsidR="00306BC7">
        <w:t>rd tool in mater</w:t>
      </w:r>
      <w:r w:rsidR="00F42144">
        <w:t>ials modelling, w</w:t>
      </w:r>
      <w:r w:rsidR="002711BF">
        <w:t>e employed</w:t>
      </w:r>
      <w:r w:rsidR="00F42144">
        <w:t xml:space="preserve"> the</w:t>
      </w:r>
      <w:r w:rsidR="00904BA7">
        <w:t xml:space="preserve"> theory in predicting the</w:t>
      </w:r>
      <w:r w:rsidR="00631C91">
        <w:t xml:space="preserve"> ground state properties of </w:t>
      </w:r>
      <w:r w:rsidR="00306BC7">
        <w:t>cubic ScF</w:t>
      </w:r>
      <w:r w:rsidR="00306BC7" w:rsidRPr="00306BC7">
        <w:rPr>
          <w:vertAlign w:val="subscript"/>
        </w:rPr>
        <w:t>3</w:t>
      </w:r>
      <w:r w:rsidR="002711BF">
        <w:t>.</w:t>
      </w:r>
      <w:r w:rsidR="00995908">
        <w:t xml:space="preserve"> </w:t>
      </w:r>
      <w:r w:rsidR="00831BEE">
        <w:t xml:space="preserve">The calculated values of the lattice parameters, bulk modulus and the bond </w:t>
      </w:r>
      <w:r w:rsidR="00586092">
        <w:t>lengths were in agreement with</w:t>
      </w:r>
      <w:r w:rsidR="00831BEE">
        <w:t xml:space="preserve"> values obtained from other </w:t>
      </w:r>
      <w:r w:rsidR="00586092">
        <w:t xml:space="preserve">related </w:t>
      </w:r>
      <w:r w:rsidR="00831BEE">
        <w:t>studies.</w:t>
      </w:r>
      <w:r w:rsidR="00113CEB">
        <w:t xml:space="preserve"> From our calculation</w:t>
      </w:r>
      <w:r w:rsidR="003B51DA">
        <w:t xml:space="preserve">, DFT </w:t>
      </w:r>
      <w:r w:rsidR="00553315">
        <w:t xml:space="preserve">as a tool </w:t>
      </w:r>
      <w:r w:rsidR="003B51DA">
        <w:t xml:space="preserve">was able to </w:t>
      </w:r>
      <w:r w:rsidR="003B51DA" w:rsidRPr="00553315">
        <w:t>complement the experimental</w:t>
      </w:r>
      <w:r w:rsidR="00553315" w:rsidRPr="00553315">
        <w:t xml:space="preserve"> approaches as well as predicting other properties like the </w:t>
      </w:r>
      <w:r w:rsidR="00113CEB">
        <w:t xml:space="preserve">volume per atom and </w:t>
      </w:r>
      <w:r w:rsidR="00553315" w:rsidRPr="00553315">
        <w:t>total energy of cubic ScF</w:t>
      </w:r>
      <w:r w:rsidR="00553315" w:rsidRPr="00FA0DB2">
        <w:rPr>
          <w:vertAlign w:val="subscript"/>
        </w:rPr>
        <w:t>3</w:t>
      </w:r>
      <w:r w:rsidR="00553315" w:rsidRPr="00FA0DB2">
        <w:t xml:space="preserve">. </w:t>
      </w:r>
      <w:r w:rsidR="00FA0DB2">
        <w:t xml:space="preserve"> Since the tool worked on our system, it could equally work on a d</w:t>
      </w:r>
      <w:bookmarkStart w:id="0" w:name="_GoBack"/>
      <w:bookmarkEnd w:id="0"/>
      <w:r w:rsidR="00FA0DB2">
        <w:t xml:space="preserve">ifferent one since the theory remains unchanged. </w:t>
      </w:r>
      <w:r w:rsidR="00257868">
        <w:t xml:space="preserve">We state clearly that the </w:t>
      </w:r>
      <w:r w:rsidR="00F45707">
        <w:t>future of sc</w:t>
      </w:r>
      <w:r w:rsidR="00DB7A38">
        <w:t>ience lies in simulation due the prowess</w:t>
      </w:r>
      <w:r w:rsidR="00F45707">
        <w:t xml:space="preserve"> exhibited by</w:t>
      </w:r>
      <w:r w:rsidR="00257868">
        <w:t xml:space="preserve"> </w:t>
      </w:r>
      <w:r w:rsidR="00DB7A38">
        <w:t xml:space="preserve">DFT in </w:t>
      </w:r>
      <w:r w:rsidR="00257868">
        <w:t xml:space="preserve">this study and that </w:t>
      </w:r>
      <w:r w:rsidR="00113CEB">
        <w:t>of other</w:t>
      </w:r>
      <w:r w:rsidR="00DB7A38">
        <w:t xml:space="preserve"> related scholars.</w:t>
      </w:r>
    </w:p>
    <w:p w:rsidR="0040195F" w:rsidRDefault="0040195F" w:rsidP="0040195F">
      <w:pPr>
        <w:pStyle w:val="Heading1"/>
        <w:numPr>
          <w:ilvl w:val="0"/>
          <w:numId w:val="1"/>
        </w:numPr>
      </w:pPr>
      <w:r>
        <w:t>Acknowledgment</w:t>
      </w:r>
    </w:p>
    <w:p w:rsidR="0040195F" w:rsidRPr="0040195F" w:rsidRDefault="0040195F" w:rsidP="0040195F">
      <w:pPr>
        <w:jc w:val="both"/>
      </w:pPr>
      <w:r>
        <w:t>The Technical University</w:t>
      </w:r>
      <w:r w:rsidR="00621ADB">
        <w:t xml:space="preserve"> of Kenya</w:t>
      </w:r>
      <w:r>
        <w:t xml:space="preserve"> is appreciated for laying a platform to this work. The Computational and Theoretical Physics group of </w:t>
      </w:r>
      <w:proofErr w:type="spellStart"/>
      <w:r>
        <w:t>Masinde</w:t>
      </w:r>
      <w:proofErr w:type="spellEnd"/>
      <w:r>
        <w:t xml:space="preserve"> </w:t>
      </w:r>
      <w:proofErr w:type="spellStart"/>
      <w:r>
        <w:t>Muliro</w:t>
      </w:r>
      <w:proofErr w:type="spellEnd"/>
      <w:r>
        <w:t xml:space="preserve"> is applauded for providing resources to carry out this study.  Kennedy </w:t>
      </w:r>
      <w:proofErr w:type="spellStart"/>
      <w:r>
        <w:t>Wachira</w:t>
      </w:r>
      <w:proofErr w:type="spellEnd"/>
      <w:r>
        <w:t xml:space="preserve"> of </w:t>
      </w:r>
      <w:proofErr w:type="spellStart"/>
      <w:r>
        <w:t>Masinde</w:t>
      </w:r>
      <w:proofErr w:type="spellEnd"/>
      <w:r>
        <w:t xml:space="preserve"> </w:t>
      </w:r>
      <w:proofErr w:type="spellStart"/>
      <w:r>
        <w:t>Muliro</w:t>
      </w:r>
      <w:proofErr w:type="spellEnd"/>
      <w:r>
        <w:t xml:space="preserve"> University is applauded for the </w:t>
      </w:r>
      <w:proofErr w:type="spellStart"/>
      <w:r>
        <w:t>cokeful</w:t>
      </w:r>
      <w:proofErr w:type="spellEnd"/>
      <w:r>
        <w:t xml:space="preserve"> discussion on this work.</w:t>
      </w:r>
    </w:p>
    <w:p w:rsidR="004F6D58" w:rsidRPr="004F6D58" w:rsidRDefault="004F6D58" w:rsidP="004F6D58">
      <w:pPr>
        <w:pStyle w:val="Paragraph2"/>
      </w:pPr>
    </w:p>
    <w:p w:rsidR="004F6D58" w:rsidRDefault="004F6D58" w:rsidP="004F6D58">
      <w:pPr>
        <w:pStyle w:val="Paragraph2"/>
      </w:pPr>
    </w:p>
    <w:p w:rsidR="00621ADB" w:rsidRDefault="00621ADB">
      <w:pPr>
        <w:pStyle w:val="Heading1"/>
      </w:pPr>
      <w:r>
        <w:t>References</w:t>
      </w:r>
    </w:p>
    <w:p w:rsidR="00621ADB" w:rsidRDefault="00621ADB" w:rsidP="00621ADB">
      <w:pPr>
        <w:pStyle w:val="Bibliography"/>
        <w:ind w:left="720" w:hanging="720"/>
        <w:jc w:val="both"/>
        <w:rPr>
          <w:noProof/>
          <w:szCs w:val="24"/>
        </w:rPr>
      </w:pPr>
      <w:r>
        <w:rPr>
          <w:noProof/>
        </w:rPr>
        <w:t xml:space="preserve">Callister Jr, W. D., &amp; Rethwisch, D. G. (2012). </w:t>
      </w:r>
      <w:r>
        <w:rPr>
          <w:i/>
          <w:iCs/>
          <w:noProof/>
        </w:rPr>
        <w:t>Fundamentals of materials science and engineering: an integrated approach.</w:t>
      </w:r>
      <w:r>
        <w:rPr>
          <w:noProof/>
        </w:rPr>
        <w:t xml:space="preserve"> John Wiley &amp; Sons.</w:t>
      </w:r>
    </w:p>
    <w:p w:rsidR="00621ADB" w:rsidRDefault="00621ADB" w:rsidP="00621ADB">
      <w:pPr>
        <w:pStyle w:val="Bibliography"/>
        <w:ind w:left="720" w:hanging="720"/>
        <w:jc w:val="both"/>
        <w:rPr>
          <w:noProof/>
        </w:rPr>
      </w:pPr>
      <w:r>
        <w:rPr>
          <w:noProof/>
        </w:rPr>
        <w:t xml:space="preserve">Casida, M. E., &amp; Huix-Rotllant, M. (2012). Progress in time-dependent density-functional theory. </w:t>
      </w:r>
      <w:r>
        <w:rPr>
          <w:i/>
          <w:iCs/>
          <w:noProof/>
        </w:rPr>
        <w:t>Annual Review of Physical Chemistry, 63</w:t>
      </w:r>
      <w:r>
        <w:rPr>
          <w:noProof/>
        </w:rPr>
        <w:t>, 287-323.</w:t>
      </w:r>
    </w:p>
    <w:p w:rsidR="00621ADB" w:rsidRDefault="00621ADB" w:rsidP="00621ADB">
      <w:pPr>
        <w:pStyle w:val="Bibliography"/>
        <w:ind w:left="720" w:hanging="720"/>
        <w:jc w:val="both"/>
        <w:rPr>
          <w:noProof/>
        </w:rPr>
      </w:pPr>
      <w:r>
        <w:rPr>
          <w:noProof/>
        </w:rPr>
        <w:t xml:space="preserve">Cody R. Morelock, Leighanne C. Gallington and Angus P. Wilkinson. (2014). Evolution of Negative Thermal Expansion and Phase Transitions in Sc1-xTixF3. </w:t>
      </w:r>
      <w:r>
        <w:rPr>
          <w:i/>
          <w:iCs/>
          <w:noProof/>
        </w:rPr>
        <w:t>American Chemical Society, 4</w:t>
      </w:r>
      <w:r>
        <w:rPr>
          <w:noProof/>
        </w:rPr>
        <w:t>(2), 1936-1973.</w:t>
      </w:r>
    </w:p>
    <w:p w:rsidR="00621ADB" w:rsidRDefault="00621ADB" w:rsidP="00621ADB">
      <w:pPr>
        <w:pStyle w:val="Bibliography"/>
        <w:ind w:left="720" w:hanging="720"/>
        <w:jc w:val="both"/>
        <w:rPr>
          <w:noProof/>
        </w:rPr>
      </w:pPr>
      <w:r>
        <w:rPr>
          <w:noProof/>
        </w:rPr>
        <w:t xml:space="preserve">Dal Corso, A. (2014). Pseudopotentials periodic table: From H to Pu. </w:t>
      </w:r>
      <w:r>
        <w:rPr>
          <w:i/>
          <w:iCs/>
          <w:noProof/>
        </w:rPr>
        <w:t>Computational Materials Science, 95</w:t>
      </w:r>
      <w:r>
        <w:rPr>
          <w:noProof/>
        </w:rPr>
        <w:t>, 337-350.</w:t>
      </w:r>
    </w:p>
    <w:p w:rsidR="00621ADB" w:rsidRDefault="00621ADB" w:rsidP="00621ADB">
      <w:pPr>
        <w:pStyle w:val="Bibliography"/>
        <w:ind w:left="720" w:hanging="720"/>
        <w:jc w:val="both"/>
        <w:rPr>
          <w:noProof/>
        </w:rPr>
      </w:pPr>
      <w:r>
        <w:rPr>
          <w:noProof/>
        </w:rPr>
        <w:t xml:space="preserve">Gandhi, M. V., &amp; Thompson, B. D. (1992). </w:t>
      </w:r>
      <w:r>
        <w:rPr>
          <w:i/>
          <w:iCs/>
          <w:noProof/>
        </w:rPr>
        <w:t>Smart materials and structures.</w:t>
      </w:r>
      <w:r>
        <w:rPr>
          <w:noProof/>
        </w:rPr>
        <w:t xml:space="preserve"> Springer Science &amp; Business Media.</w:t>
      </w:r>
    </w:p>
    <w:p w:rsidR="00621ADB" w:rsidRDefault="00621ADB" w:rsidP="00621ADB">
      <w:pPr>
        <w:pStyle w:val="Bibliography"/>
        <w:ind w:left="720" w:hanging="720"/>
        <w:jc w:val="both"/>
        <w:rPr>
          <w:noProof/>
        </w:rPr>
      </w:pPr>
      <w:r>
        <w:rPr>
          <w:noProof/>
        </w:rPr>
        <w:t xml:space="preserve">Hohenberg, P., &amp; Kohn, W. (1964). Inhomogeneous electron gas. </w:t>
      </w:r>
      <w:r>
        <w:rPr>
          <w:i/>
          <w:iCs/>
          <w:noProof/>
        </w:rPr>
        <w:t>Physical review, 136</w:t>
      </w:r>
      <w:r>
        <w:rPr>
          <w:noProof/>
        </w:rPr>
        <w:t>(3B), B864.</w:t>
      </w:r>
    </w:p>
    <w:p w:rsidR="00621ADB" w:rsidRDefault="00621ADB" w:rsidP="00621ADB">
      <w:pPr>
        <w:pStyle w:val="Bibliography"/>
        <w:ind w:left="720" w:hanging="720"/>
        <w:jc w:val="both"/>
        <w:rPr>
          <w:noProof/>
        </w:rPr>
      </w:pPr>
      <w:r>
        <w:rPr>
          <w:noProof/>
        </w:rPr>
        <w:t xml:space="preserve">Jain, A., Ong, S. P., Hautier, G., Chen, W., Richards, W. D., Dacek, S., ... &amp; Persson, K. A. (2013). Commentary: The Materials Project: A materials genome approach to accelerating materials innovation. </w:t>
      </w:r>
      <w:r>
        <w:rPr>
          <w:i/>
          <w:iCs/>
          <w:noProof/>
        </w:rPr>
        <w:t>Apl Materials, 1</w:t>
      </w:r>
      <w:r>
        <w:rPr>
          <w:noProof/>
        </w:rPr>
        <w:t>(1), 011002.</w:t>
      </w:r>
    </w:p>
    <w:p w:rsidR="00621ADB" w:rsidRDefault="00621ADB" w:rsidP="00621ADB">
      <w:pPr>
        <w:pStyle w:val="Bibliography"/>
        <w:ind w:left="720" w:hanging="720"/>
        <w:jc w:val="both"/>
        <w:rPr>
          <w:noProof/>
        </w:rPr>
      </w:pPr>
      <w:r>
        <w:rPr>
          <w:noProof/>
        </w:rPr>
        <w:t xml:space="preserve">Joy, B. (2000). Why the future doesn’t need us. </w:t>
      </w:r>
      <w:r>
        <w:rPr>
          <w:i/>
          <w:iCs/>
          <w:noProof/>
        </w:rPr>
        <w:t>Wired magazine, 8</w:t>
      </w:r>
      <w:r>
        <w:rPr>
          <w:noProof/>
        </w:rPr>
        <w:t>(4), 238-262.</w:t>
      </w:r>
    </w:p>
    <w:p w:rsidR="00621ADB" w:rsidRDefault="00621ADB" w:rsidP="00621ADB">
      <w:pPr>
        <w:pStyle w:val="Bibliography"/>
        <w:ind w:left="720" w:hanging="720"/>
        <w:jc w:val="both"/>
        <w:rPr>
          <w:noProof/>
        </w:rPr>
      </w:pPr>
      <w:r>
        <w:rPr>
          <w:noProof/>
        </w:rPr>
        <w:t xml:space="preserve">Koentopp, M., Chang, C., Burke, K., &amp; Car, R. (2008). Density functional calculations of nanoscale conductance. </w:t>
      </w:r>
      <w:r>
        <w:rPr>
          <w:i/>
          <w:iCs/>
          <w:noProof/>
        </w:rPr>
        <w:t>Journal of Physics: Condensed Matter, 20</w:t>
      </w:r>
      <w:r>
        <w:rPr>
          <w:noProof/>
        </w:rPr>
        <w:t>(8), 083203.</w:t>
      </w:r>
    </w:p>
    <w:p w:rsidR="00621ADB" w:rsidRDefault="00621ADB" w:rsidP="00621ADB">
      <w:pPr>
        <w:pStyle w:val="Bibliography"/>
        <w:ind w:left="720" w:hanging="720"/>
        <w:jc w:val="both"/>
        <w:rPr>
          <w:noProof/>
        </w:rPr>
      </w:pPr>
      <w:r>
        <w:rPr>
          <w:noProof/>
        </w:rPr>
        <w:t xml:space="preserve">Kohn, W. (1999). Nobel Lecture: Electronic structure of matter—wave functions and density functionals. </w:t>
      </w:r>
      <w:r>
        <w:rPr>
          <w:i/>
          <w:iCs/>
          <w:noProof/>
        </w:rPr>
        <w:t>Reviews of Modern Physics, 71</w:t>
      </w:r>
      <w:r>
        <w:rPr>
          <w:noProof/>
        </w:rPr>
        <w:t>(5), 1253.</w:t>
      </w:r>
    </w:p>
    <w:p w:rsidR="00621ADB" w:rsidRDefault="00621ADB" w:rsidP="00621ADB">
      <w:pPr>
        <w:pStyle w:val="Bibliography"/>
        <w:ind w:left="720" w:hanging="720"/>
        <w:jc w:val="both"/>
        <w:rPr>
          <w:noProof/>
        </w:rPr>
      </w:pPr>
      <w:r>
        <w:rPr>
          <w:noProof/>
        </w:rPr>
        <w:t xml:space="preserve">Kohn, W., &amp; Sham, L. J. (1965). Self-consistent equations including exchange and correlation effects. </w:t>
      </w:r>
      <w:r>
        <w:rPr>
          <w:i/>
          <w:iCs/>
          <w:noProof/>
        </w:rPr>
        <w:t>Physical review, 140</w:t>
      </w:r>
      <w:r>
        <w:rPr>
          <w:noProof/>
        </w:rPr>
        <w:t>(4A), A1133.</w:t>
      </w:r>
    </w:p>
    <w:p w:rsidR="00621ADB" w:rsidRDefault="00621ADB" w:rsidP="00621ADB">
      <w:pPr>
        <w:pStyle w:val="Bibliography"/>
        <w:ind w:left="720" w:hanging="720"/>
        <w:jc w:val="both"/>
        <w:rPr>
          <w:noProof/>
        </w:rPr>
      </w:pPr>
      <w:r>
        <w:rPr>
          <w:noProof/>
        </w:rPr>
        <w:t xml:space="preserve">Kohn, W., Becke, A. D., &amp; Parr, R. G. (1996). Density functional theory of electronic structure. </w:t>
      </w:r>
      <w:r>
        <w:rPr>
          <w:i/>
          <w:iCs/>
          <w:noProof/>
        </w:rPr>
        <w:t>The Journal of Physical Chemistry, 100</w:t>
      </w:r>
      <w:r>
        <w:rPr>
          <w:noProof/>
        </w:rPr>
        <w:t>(31), 12974-12980.</w:t>
      </w:r>
    </w:p>
    <w:p w:rsidR="00621ADB" w:rsidRDefault="00621ADB" w:rsidP="00621ADB">
      <w:pPr>
        <w:pStyle w:val="Bibliography"/>
        <w:ind w:left="720" w:hanging="720"/>
        <w:jc w:val="both"/>
        <w:rPr>
          <w:noProof/>
        </w:rPr>
      </w:pPr>
      <w:r>
        <w:rPr>
          <w:noProof/>
        </w:rPr>
        <w:lastRenderedPageBreak/>
        <w:t xml:space="preserve">Monkhorst, H. J., &amp; Pack, J. P. (2005). Special points for Brillouin-zone integrations. </w:t>
      </w:r>
      <w:r>
        <w:rPr>
          <w:i/>
          <w:iCs/>
          <w:noProof/>
        </w:rPr>
        <w:t>Applied Physics, 2</w:t>
      </w:r>
      <w:r>
        <w:rPr>
          <w:noProof/>
        </w:rPr>
        <w:t>(1), 5188-5193.</w:t>
      </w:r>
    </w:p>
    <w:p w:rsidR="00621ADB" w:rsidRDefault="00621ADB" w:rsidP="00621ADB">
      <w:pPr>
        <w:pStyle w:val="Bibliography"/>
        <w:ind w:left="720" w:hanging="720"/>
        <w:jc w:val="both"/>
        <w:rPr>
          <w:noProof/>
        </w:rPr>
      </w:pPr>
      <w:r>
        <w:rPr>
          <w:noProof/>
        </w:rPr>
        <w:t xml:space="preserve">Murnaghan, F. D. (1944). The compressibility of media under extreme pressures . </w:t>
      </w:r>
      <w:r>
        <w:rPr>
          <w:i/>
          <w:iCs/>
          <w:noProof/>
        </w:rPr>
        <w:t>Pro-ceedings of the National Academy of Sciences, 30</w:t>
      </w:r>
      <w:r>
        <w:rPr>
          <w:noProof/>
        </w:rPr>
        <w:t>(9), 244-247.</w:t>
      </w:r>
    </w:p>
    <w:p w:rsidR="00621ADB" w:rsidRDefault="00621ADB" w:rsidP="00621ADB">
      <w:pPr>
        <w:pStyle w:val="Bibliography"/>
        <w:ind w:left="720" w:hanging="720"/>
        <w:jc w:val="both"/>
        <w:rPr>
          <w:noProof/>
        </w:rPr>
      </w:pPr>
      <w:r>
        <w:rPr>
          <w:noProof/>
        </w:rPr>
        <w:t xml:space="preserve">Nelson, E. (1966). Derivation of the Schrödinger equation from Newtonian mechanics. </w:t>
      </w:r>
      <w:r>
        <w:rPr>
          <w:i/>
          <w:iCs/>
          <w:noProof/>
        </w:rPr>
        <w:t>Physical review, 150</w:t>
      </w:r>
      <w:r>
        <w:rPr>
          <w:noProof/>
        </w:rPr>
        <w:t>(4), 1079.</w:t>
      </w:r>
    </w:p>
    <w:p w:rsidR="00621ADB" w:rsidRDefault="00621ADB" w:rsidP="00621ADB">
      <w:pPr>
        <w:pStyle w:val="Bibliography"/>
        <w:ind w:left="720" w:hanging="720"/>
        <w:jc w:val="both"/>
        <w:rPr>
          <w:noProof/>
        </w:rPr>
      </w:pPr>
      <w:r>
        <w:rPr>
          <w:noProof/>
        </w:rPr>
        <w:t xml:space="preserve">Ohring, M. (2001). </w:t>
      </w:r>
      <w:r>
        <w:rPr>
          <w:i/>
          <w:iCs/>
          <w:noProof/>
        </w:rPr>
        <w:t>Materials science of thin films.</w:t>
      </w:r>
      <w:r>
        <w:rPr>
          <w:noProof/>
        </w:rPr>
        <w:t xml:space="preserve"> Elsevier.</w:t>
      </w:r>
    </w:p>
    <w:p w:rsidR="00621ADB" w:rsidRDefault="00621ADB" w:rsidP="00621ADB">
      <w:pPr>
        <w:pStyle w:val="Bibliography"/>
        <w:ind w:left="720" w:hanging="720"/>
        <w:jc w:val="both"/>
        <w:rPr>
          <w:noProof/>
        </w:rPr>
      </w:pPr>
      <w:r>
        <w:rPr>
          <w:noProof/>
        </w:rPr>
        <w:t xml:space="preserve">P. Giannozzi, S. Baroni, N. Bonini, M. Calandra, R. Car, C. Cavazzoni, D. Ceresoli, G. L. Chiarotti, M. Cococcioni, I. Dabo, A. Dal Corso, S. Fabris, G. Fratesi, S. de Gironcoli, R. Gebauer, U. Gerstmann, C. Gougoussis, A. Kokalj, M. Lazzeri. (2009). QUANTUM ESPRESSO: a modular and open-source software project for quantum simulations of materials. </w:t>
      </w:r>
      <w:r>
        <w:rPr>
          <w:i/>
          <w:iCs/>
          <w:noProof/>
        </w:rPr>
        <w:t>Journal of Physics: Condensed Matter, 21</w:t>
      </w:r>
      <w:r>
        <w:rPr>
          <w:noProof/>
        </w:rPr>
        <w:t>, 395502.</w:t>
      </w:r>
    </w:p>
    <w:p w:rsidR="00621ADB" w:rsidRDefault="00621ADB" w:rsidP="00621ADB">
      <w:pPr>
        <w:pStyle w:val="Bibliography"/>
        <w:ind w:left="720" w:hanging="720"/>
        <w:jc w:val="both"/>
        <w:rPr>
          <w:noProof/>
        </w:rPr>
      </w:pPr>
      <w:r>
        <w:rPr>
          <w:noProof/>
        </w:rPr>
        <w:t xml:space="preserve">Perdew, J. P., &amp; Zunger, A. (1981). Self-interaction correction to density-functional approximations for many-electron systems. </w:t>
      </w:r>
      <w:r>
        <w:rPr>
          <w:i/>
          <w:iCs/>
          <w:noProof/>
        </w:rPr>
        <w:t>Physical Review B, 23</w:t>
      </w:r>
      <w:r>
        <w:rPr>
          <w:noProof/>
        </w:rPr>
        <w:t>(10), 5048.</w:t>
      </w:r>
    </w:p>
    <w:p w:rsidR="00621ADB" w:rsidRDefault="00621ADB" w:rsidP="00621ADB">
      <w:pPr>
        <w:pStyle w:val="Bibliography"/>
        <w:ind w:left="720" w:hanging="720"/>
        <w:jc w:val="both"/>
        <w:rPr>
          <w:noProof/>
        </w:rPr>
      </w:pPr>
      <w:r>
        <w:rPr>
          <w:noProof/>
        </w:rPr>
        <w:t xml:space="preserve">Perdew, J. P., Burke, K., &amp; Ernzerhof, M. (1996). Generalized gradient approximation made simple. </w:t>
      </w:r>
      <w:r>
        <w:rPr>
          <w:i/>
          <w:iCs/>
          <w:noProof/>
        </w:rPr>
        <w:t>Physical review letters, 77</w:t>
      </w:r>
      <w:r>
        <w:rPr>
          <w:noProof/>
        </w:rPr>
        <w:t>(18), 3865.</w:t>
      </w:r>
    </w:p>
    <w:p w:rsidR="00621ADB" w:rsidRDefault="00621ADB" w:rsidP="00621ADB">
      <w:pPr>
        <w:pStyle w:val="Bibliography"/>
        <w:ind w:left="720" w:hanging="720"/>
        <w:jc w:val="both"/>
        <w:rPr>
          <w:noProof/>
        </w:rPr>
      </w:pPr>
      <w:r>
        <w:rPr>
          <w:noProof/>
        </w:rPr>
        <w:t xml:space="preserve">Perdew, J. P., Chevary, J. A., Vosko, S. H., Jackson, K. A., Pederson, M. R., Singh, D. J., &amp; Fiolhais, C. (1992). Atoms, molecules, solids, and surfaces: Applications of the generalized gradient approximation for exchange and correlation. </w:t>
      </w:r>
      <w:r>
        <w:rPr>
          <w:i/>
          <w:iCs/>
          <w:noProof/>
        </w:rPr>
        <w:t>Physical Review B, 46</w:t>
      </w:r>
      <w:r>
        <w:rPr>
          <w:noProof/>
        </w:rPr>
        <w:t>(11), 6671.</w:t>
      </w:r>
    </w:p>
    <w:p w:rsidR="00621ADB" w:rsidRDefault="00621ADB" w:rsidP="00621ADB">
      <w:pPr>
        <w:pStyle w:val="Bibliography"/>
        <w:ind w:left="720" w:hanging="720"/>
        <w:jc w:val="both"/>
        <w:rPr>
          <w:noProof/>
        </w:rPr>
      </w:pPr>
      <w:r>
        <w:rPr>
          <w:noProof/>
        </w:rPr>
        <w:t xml:space="preserve">Perdew, J. P., Ruzsinszky, A., Csonka, G. I., Vydrov, O. A., Scuseria, G. E., Constantin, L. A., ... &amp; Burke, K. (2008). Restoring the density-gradient expansion for exchange in solids and surfaces. </w:t>
      </w:r>
      <w:r>
        <w:rPr>
          <w:i/>
          <w:iCs/>
          <w:noProof/>
        </w:rPr>
        <w:t>Physical Review Letters, 100</w:t>
      </w:r>
      <w:r>
        <w:rPr>
          <w:noProof/>
        </w:rPr>
        <w:t>(13), 136406.</w:t>
      </w:r>
    </w:p>
    <w:p w:rsidR="00621ADB" w:rsidRDefault="00621ADB" w:rsidP="00621ADB">
      <w:pPr>
        <w:pStyle w:val="Bibliography"/>
        <w:ind w:left="720" w:hanging="720"/>
        <w:jc w:val="both"/>
        <w:rPr>
          <w:noProof/>
        </w:rPr>
      </w:pPr>
      <w:r>
        <w:rPr>
          <w:noProof/>
        </w:rPr>
        <w:t xml:space="preserve">Sholl, D., &amp; Steckel, J. A. (2001). </w:t>
      </w:r>
      <w:r>
        <w:rPr>
          <w:i/>
          <w:iCs/>
          <w:noProof/>
        </w:rPr>
        <w:t>Density functional theory: a practical introduction.</w:t>
      </w:r>
      <w:r>
        <w:rPr>
          <w:noProof/>
        </w:rPr>
        <w:t xml:space="preserve"> John Wiley &amp; Sons.</w:t>
      </w:r>
    </w:p>
    <w:p w:rsidR="00621ADB" w:rsidRDefault="00621ADB" w:rsidP="00621ADB">
      <w:pPr>
        <w:pStyle w:val="Bibliography"/>
        <w:ind w:left="720" w:hanging="720"/>
        <w:jc w:val="both"/>
        <w:rPr>
          <w:noProof/>
        </w:rPr>
      </w:pPr>
      <w:r>
        <w:rPr>
          <w:noProof/>
        </w:rPr>
        <w:t xml:space="preserve">Slater, J. C. (1951). A simplification of the Hartree-Fock method. </w:t>
      </w:r>
      <w:r>
        <w:rPr>
          <w:i/>
          <w:iCs/>
          <w:noProof/>
        </w:rPr>
        <w:t>Physical review, 81</w:t>
      </w:r>
      <w:r>
        <w:rPr>
          <w:noProof/>
        </w:rPr>
        <w:t>(3), 385.</w:t>
      </w:r>
    </w:p>
    <w:p w:rsidR="00621ADB" w:rsidRDefault="00621ADB" w:rsidP="00621ADB">
      <w:pPr>
        <w:pStyle w:val="Bibliography"/>
        <w:ind w:left="720" w:hanging="720"/>
        <w:jc w:val="both"/>
        <w:rPr>
          <w:noProof/>
        </w:rPr>
      </w:pPr>
      <w:r>
        <w:rPr>
          <w:noProof/>
        </w:rPr>
        <w:t xml:space="preserve">Sobell, M. G., &amp; Helmke, M. (2005). </w:t>
      </w:r>
      <w:r>
        <w:rPr>
          <w:i/>
          <w:iCs/>
          <w:noProof/>
        </w:rPr>
        <w:t>A practical guide to Linux commands, editors, and shell programming.</w:t>
      </w:r>
      <w:r>
        <w:rPr>
          <w:noProof/>
        </w:rPr>
        <w:t xml:space="preserve"> Prentice Hall Professional Technical Reference.</w:t>
      </w:r>
    </w:p>
    <w:p w:rsidR="00621ADB" w:rsidRDefault="00621ADB" w:rsidP="00621ADB">
      <w:pPr>
        <w:pStyle w:val="Bibliography"/>
        <w:ind w:left="720" w:hanging="720"/>
        <w:jc w:val="both"/>
        <w:rPr>
          <w:noProof/>
        </w:rPr>
      </w:pPr>
      <w:r>
        <w:rPr>
          <w:noProof/>
        </w:rPr>
        <w:t xml:space="preserve">Van Rossum, G. (2007). Python Programming Language. </w:t>
      </w:r>
      <w:r>
        <w:rPr>
          <w:i/>
          <w:iCs/>
          <w:noProof/>
        </w:rPr>
        <w:t>In USENIX Annual Technical Conference</w:t>
      </w:r>
      <w:r>
        <w:rPr>
          <w:noProof/>
        </w:rPr>
        <w:t>, (p. 36).</w:t>
      </w:r>
    </w:p>
    <w:p w:rsidR="00621ADB" w:rsidRDefault="00621ADB" w:rsidP="00621ADB">
      <w:pPr>
        <w:pStyle w:val="Bibliography"/>
        <w:ind w:left="720" w:hanging="720"/>
        <w:jc w:val="both"/>
        <w:rPr>
          <w:noProof/>
        </w:rPr>
      </w:pPr>
      <w:r>
        <w:rPr>
          <w:noProof/>
        </w:rPr>
        <w:t xml:space="preserve">Wesolowski, T. A., &amp; Warshel, A. (1993). Frozen density functional approach for ab initio calculations of solvated molecules. </w:t>
      </w:r>
      <w:r>
        <w:rPr>
          <w:i/>
          <w:iCs/>
          <w:noProof/>
        </w:rPr>
        <w:t>The Journal of Physical Chemistry, 97</w:t>
      </w:r>
      <w:r>
        <w:rPr>
          <w:noProof/>
        </w:rPr>
        <w:t>(30), 8050-8053.</w:t>
      </w:r>
    </w:p>
    <w:p w:rsidR="00621ADB" w:rsidRDefault="00621ADB" w:rsidP="00621ADB">
      <w:pPr>
        <w:pStyle w:val="Bibliography"/>
        <w:ind w:left="720" w:hanging="720"/>
        <w:jc w:val="both"/>
        <w:rPr>
          <w:noProof/>
        </w:rPr>
      </w:pPr>
      <w:r>
        <w:rPr>
          <w:noProof/>
        </w:rPr>
        <w:t xml:space="preserve">Wu, Z., &amp; Cohen, R. E. (2006). More accurate generalized gradient approximation for solids. </w:t>
      </w:r>
      <w:r>
        <w:rPr>
          <w:i/>
          <w:iCs/>
          <w:noProof/>
        </w:rPr>
        <w:t>Physical Review B, 73</w:t>
      </w:r>
      <w:r>
        <w:rPr>
          <w:noProof/>
        </w:rPr>
        <w:t>(23), 235116.</w:t>
      </w:r>
    </w:p>
    <w:p w:rsidR="00621ADB" w:rsidRDefault="00621ADB" w:rsidP="00621ADB">
      <w:pPr>
        <w:pStyle w:val="Bibliography"/>
        <w:ind w:left="720" w:hanging="720"/>
        <w:jc w:val="both"/>
        <w:rPr>
          <w:noProof/>
        </w:rPr>
      </w:pPr>
      <w:r>
        <w:rPr>
          <w:noProof/>
        </w:rPr>
        <w:t xml:space="preserve">Wu, Z., Cohen, R. E., &amp; Singh, D. J. (2004). Comparing the weighted density approximation with the LDA and GGA for ground-state properties of ferroelectric perovskites. </w:t>
      </w:r>
      <w:r>
        <w:rPr>
          <w:i/>
          <w:iCs/>
          <w:noProof/>
        </w:rPr>
        <w:t>Physical Review B, 70</w:t>
      </w:r>
      <w:r>
        <w:rPr>
          <w:noProof/>
        </w:rPr>
        <w:t>(10), 104112.</w:t>
      </w:r>
    </w:p>
    <w:p w:rsidR="00621ADB" w:rsidRDefault="00621ADB" w:rsidP="00621ADB">
      <w:pPr>
        <w:pStyle w:val="Bibliography"/>
        <w:ind w:left="720" w:hanging="720"/>
        <w:jc w:val="both"/>
        <w:rPr>
          <w:noProof/>
        </w:rPr>
      </w:pPr>
      <w:r>
        <w:rPr>
          <w:noProof/>
        </w:rPr>
        <w:t xml:space="preserve">Zhgun, P., Bocharov, D., Piskunov, S., Kuzmin, A., &amp; Purans, J. (2012). Electronic structure of cubic ScF3 from first-principles calculations. </w:t>
      </w:r>
      <w:r>
        <w:rPr>
          <w:i/>
          <w:iCs/>
          <w:noProof/>
        </w:rPr>
        <w:t>arXiv preprint arXiv, 1211</w:t>
      </w:r>
      <w:r>
        <w:rPr>
          <w:noProof/>
        </w:rPr>
        <w:t>, 5697.</w:t>
      </w:r>
    </w:p>
    <w:p w:rsidR="00621ADB" w:rsidRDefault="00621ADB" w:rsidP="00621ADB"/>
    <w:p w:rsidR="0068016F" w:rsidRDefault="0068016F" w:rsidP="0068016F"/>
    <w:p w:rsidR="00C86F5A" w:rsidRDefault="00C86F5A" w:rsidP="00C86F5A"/>
    <w:p w:rsidR="009B2C05" w:rsidRDefault="009B2C05" w:rsidP="009B2C05"/>
    <w:p w:rsidR="00025F80" w:rsidRDefault="00025F80" w:rsidP="00025F80"/>
    <w:p w:rsidR="003C112B" w:rsidRDefault="003C112B" w:rsidP="003C112B"/>
    <w:p w:rsidR="00102E44" w:rsidRDefault="00102E44" w:rsidP="007C2D45">
      <w:pPr>
        <w:pStyle w:val="Heading1"/>
      </w:pPr>
    </w:p>
    <w:sectPr w:rsidR="00102E44">
      <w:headerReference w:type="even" r:id="rId64"/>
      <w:headerReference w:type="default" r:id="rId65"/>
      <w:footerReference w:type="even" r:id="rId66"/>
      <w:footerReference w:type="default" r:id="rId67"/>
      <w:headerReference w:type="first" r:id="rId68"/>
      <w:footerReference w:type="first" r:id="rId69"/>
      <w:pgSz w:w="11906" w:h="16838"/>
      <w:pgMar w:top="1469" w:right="1469" w:bottom="1138" w:left="158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C3" w:rsidRDefault="001B5AC3" w:rsidP="00C56D6A">
      <w:r>
        <w:separator/>
      </w:r>
    </w:p>
  </w:endnote>
  <w:endnote w:type="continuationSeparator" w:id="0">
    <w:p w:rsidR="001B5AC3" w:rsidRDefault="001B5AC3" w:rsidP="00C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8" w:rsidRDefault="00381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8" w:rsidRDefault="00381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8" w:rsidRDefault="0038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C3" w:rsidRDefault="001B5AC3" w:rsidP="00C56D6A">
      <w:r>
        <w:separator/>
      </w:r>
    </w:p>
  </w:footnote>
  <w:footnote w:type="continuationSeparator" w:id="0">
    <w:p w:rsidR="001B5AC3" w:rsidRDefault="001B5AC3" w:rsidP="00C5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8" w:rsidRDefault="00381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6A" w:rsidRPr="00B21539" w:rsidRDefault="00E53A40" w:rsidP="00C56D6A">
    <w:pPr>
      <w:pStyle w:val="Header"/>
      <w:ind w:left="1440"/>
      <w:rPr>
        <w:i/>
        <w:sz w:val="22"/>
      </w:rPr>
    </w:pPr>
    <w:r>
      <w:rPr>
        <w:i/>
        <w:noProof/>
        <w:sz w:val="22"/>
        <w:lang w:val="en-US"/>
      </w:rPr>
      <mc:AlternateContent>
        <mc:Choice Requires="wps">
          <w:drawing>
            <wp:anchor distT="0" distB="0" distL="114300" distR="114300" simplePos="0" relativeHeight="251658240" behindDoc="0" locked="0" layoutInCell="1" allowOverlap="1">
              <wp:simplePos x="0" y="0"/>
              <wp:positionH relativeFrom="column">
                <wp:posOffset>5709285</wp:posOffset>
              </wp:positionH>
              <wp:positionV relativeFrom="paragraph">
                <wp:posOffset>-229235</wp:posOffset>
              </wp:positionV>
              <wp:extent cx="764540" cy="720090"/>
              <wp:effectExtent l="13335" t="8890" r="571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720090"/>
                      </a:xfrm>
                      <a:prstGeom prst="rect">
                        <a:avLst/>
                      </a:prstGeom>
                      <a:solidFill>
                        <a:srgbClr val="FFFFFF"/>
                      </a:solidFill>
                      <a:ln w="9525">
                        <a:solidFill>
                          <a:srgbClr val="FFFFFF"/>
                        </a:solidFill>
                        <a:miter lim="800000"/>
                        <a:headEnd/>
                        <a:tailEnd/>
                      </a:ln>
                    </wps:spPr>
                    <wps:txbx>
                      <w:txbxContent>
                        <w:p w:rsidR="00DB2611" w:rsidRDefault="00315F15">
                          <w:r>
                            <w:rPr>
                              <w:noProof/>
                              <w:lang w:val="en-US"/>
                            </w:rPr>
                            <w:drawing>
                              <wp:inline distT="0" distB="0" distL="0" distR="0">
                                <wp:extent cx="542925" cy="619125"/>
                                <wp:effectExtent l="19050" t="0" r="9525" b="0"/>
                                <wp:docPr id="2" name="Picture 1" descr="C:\Users\JAIME-LAB\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ME-LAB\AppData\Local\Microsoft\Windows\Temporary Internet Files\Content.Word\index.jpg"/>
                                        <pic:cNvPicPr>
                                          <a:picLocks noChangeAspect="1" noChangeArrowheads="1"/>
                                        </pic:cNvPicPr>
                                      </pic:nvPicPr>
                                      <pic:blipFill>
                                        <a:blip r:embed="rId1"/>
                                        <a:srcRect/>
                                        <a:stretch>
                                          <a:fillRect/>
                                        </a:stretch>
                                      </pic:blipFill>
                                      <pic:spPr bwMode="auto">
                                        <a:xfrm>
                                          <a:off x="0" y="0"/>
                                          <a:ext cx="542925"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55pt;margin-top:-18.05pt;width:60.2pt;height:5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" strokecolor="white">
              <v:textbox style="mso-fit-shape-to-text:t">
                <w:txbxContent>
                  <w:p w:rsidR="00DB2611" w:rsidRDefault="00315F15">
                    <w:r>
                      <w:rPr>
                        <w:noProof/>
                        <w:lang w:val="en-US"/>
                      </w:rPr>
                      <w:drawing>
                        <wp:inline distT="0" distB="0" distL="0" distR="0">
                          <wp:extent cx="542925" cy="619125"/>
                          <wp:effectExtent l="19050" t="0" r="9525" b="0"/>
                          <wp:docPr id="2" name="Picture 1" descr="C:\Users\JAIME-LAB\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ME-LAB\AppData\Local\Microsoft\Windows\Temporary Internet Files\Content.Word\index.jpg"/>
                                  <pic:cNvPicPr>
                                    <a:picLocks noChangeAspect="1" noChangeArrowheads="1"/>
                                  </pic:cNvPicPr>
                                </pic:nvPicPr>
                                <pic:blipFill>
                                  <a:blip r:embed="rId1"/>
                                  <a:srcRect/>
                                  <a:stretch>
                                    <a:fillRect/>
                                  </a:stretch>
                                </pic:blipFill>
                                <pic:spPr bwMode="auto">
                                  <a:xfrm>
                                    <a:off x="0" y="0"/>
                                    <a:ext cx="542925" cy="619125"/>
                                  </a:xfrm>
                                  <a:prstGeom prst="rect">
                                    <a:avLst/>
                                  </a:prstGeom>
                                  <a:noFill/>
                                  <a:ln w="9525">
                                    <a:noFill/>
                                    <a:miter lim="800000"/>
                                    <a:headEnd/>
                                    <a:tailEnd/>
                                  </a:ln>
                                </pic:spPr>
                              </pic:pic>
                            </a:graphicData>
                          </a:graphic>
                        </wp:inline>
                      </w:drawing>
                    </w:r>
                  </w:p>
                </w:txbxContent>
              </v:textbox>
            </v:shape>
          </w:pict>
        </mc:Fallback>
      </mc:AlternateContent>
    </w:r>
    <w:r w:rsidR="00315F15">
      <w:rPr>
        <w:i/>
        <w:noProof/>
        <w:sz w:val="22"/>
        <w:lang w:val="en-US"/>
      </w:rPr>
      <w:drawing>
        <wp:anchor distT="0" distB="0" distL="114300" distR="114300" simplePos="0" relativeHeight="251657216" behindDoc="0" locked="0" layoutInCell="1" allowOverlap="1">
          <wp:simplePos x="0" y="0"/>
          <wp:positionH relativeFrom="column">
            <wp:posOffset>-2540</wp:posOffset>
          </wp:positionH>
          <wp:positionV relativeFrom="page">
            <wp:posOffset>260985</wp:posOffset>
          </wp:positionV>
          <wp:extent cx="523240" cy="592455"/>
          <wp:effectExtent l="19050" t="0" r="0" b="0"/>
          <wp:wrapSquare wrapText="bothSides"/>
          <wp:docPr id="1" name="Picture" descr="Logo - Yel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 Yellow2"/>
                  <pic:cNvPicPr>
                    <a:picLocks noChangeAspect="1" noChangeArrowheads="1"/>
                  </pic:cNvPicPr>
                </pic:nvPicPr>
                <pic:blipFill>
                  <a:blip r:embed="rId2"/>
                  <a:srcRect/>
                  <a:stretch>
                    <a:fillRect/>
                  </a:stretch>
                </pic:blipFill>
                <pic:spPr bwMode="auto">
                  <a:xfrm>
                    <a:off x="0" y="0"/>
                    <a:ext cx="523240" cy="592455"/>
                  </a:xfrm>
                  <a:prstGeom prst="rect">
                    <a:avLst/>
                  </a:prstGeom>
                  <a:noFill/>
                  <a:ln w="9525">
                    <a:noFill/>
                    <a:miter lim="800000"/>
                    <a:headEnd/>
                    <a:tailEnd/>
                  </a:ln>
                </pic:spPr>
              </pic:pic>
            </a:graphicData>
          </a:graphic>
        </wp:anchor>
      </w:drawing>
    </w:r>
    <w:r w:rsidR="00C56D6A" w:rsidRPr="00B21539">
      <w:rPr>
        <w:i/>
        <w:sz w:val="22"/>
      </w:rPr>
      <w:t xml:space="preserve">Proceedings of the </w:t>
    </w:r>
    <w:proofErr w:type="spellStart"/>
    <w:r w:rsidR="00C56D6A" w:rsidRPr="00B21539">
      <w:rPr>
        <w:i/>
        <w:sz w:val="22"/>
      </w:rPr>
      <w:t>Kabarak</w:t>
    </w:r>
    <w:proofErr w:type="spellEnd"/>
    <w:r w:rsidR="00C56D6A" w:rsidRPr="00B21539">
      <w:rPr>
        <w:i/>
        <w:sz w:val="22"/>
      </w:rPr>
      <w:t xml:space="preserve"> University International Conference</w:t>
    </w:r>
    <w:r w:rsidR="007B65D9">
      <w:rPr>
        <w:i/>
        <w:sz w:val="22"/>
      </w:rPr>
      <w:t xml:space="preserve"> on Computing and Information Systems</w:t>
    </w:r>
    <w:r w:rsidR="00C56D6A" w:rsidRPr="00B21539">
      <w:rPr>
        <w:i/>
        <w:sz w:val="22"/>
      </w:rPr>
      <w:t xml:space="preserve">. </w:t>
    </w:r>
    <w:r w:rsidR="007B65D9">
      <w:rPr>
        <w:i/>
        <w:sz w:val="22"/>
      </w:rPr>
      <w:t>8</w:t>
    </w:r>
    <w:r w:rsidR="007B65D9" w:rsidRPr="007B65D9">
      <w:rPr>
        <w:i/>
        <w:sz w:val="22"/>
        <w:vertAlign w:val="superscript"/>
      </w:rPr>
      <w:t>th</w:t>
    </w:r>
    <w:r w:rsidR="007B65D9">
      <w:rPr>
        <w:i/>
        <w:sz w:val="22"/>
      </w:rPr>
      <w:t xml:space="preserve"> – 9</w:t>
    </w:r>
    <w:r w:rsidR="007B65D9" w:rsidRPr="007B65D9">
      <w:rPr>
        <w:i/>
        <w:sz w:val="22"/>
        <w:vertAlign w:val="superscript"/>
      </w:rPr>
      <w:t>th</w:t>
    </w:r>
    <w:r w:rsidR="007B65D9">
      <w:rPr>
        <w:i/>
        <w:sz w:val="22"/>
      </w:rPr>
      <w:t xml:space="preserve"> October 2018 </w:t>
    </w:r>
    <w:proofErr w:type="spellStart"/>
    <w:r w:rsidR="00F328A1">
      <w:rPr>
        <w:i/>
        <w:sz w:val="22"/>
      </w:rPr>
      <w:t>Nakuru</w:t>
    </w:r>
    <w:proofErr w:type="spellEnd"/>
    <w:r w:rsidR="00F328A1">
      <w:rPr>
        <w:i/>
        <w:sz w:val="22"/>
      </w:rPr>
      <w:t xml:space="preserve">, Kenya.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8" w:rsidRDefault="00381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4090011"/>
    <w:lvl w:ilvl="0">
      <w:start w:val="1"/>
      <w:numFmt w:val="decimal"/>
      <w:lvlText w:val="%1)"/>
      <w:lvlJc w:val="left"/>
      <w:pPr>
        <w:ind w:left="360" w:hanging="360"/>
      </w:pPr>
    </w:lvl>
  </w:abstractNum>
  <w:abstractNum w:abstractNumId="1">
    <w:nsid w:val="FFFFFF89"/>
    <w:multiLevelType w:val="singleLevel"/>
    <w:tmpl w:val="9DF2F64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F55E5"/>
    <w:multiLevelType w:val="hybridMultilevel"/>
    <w:tmpl w:val="30A8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667F1"/>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26084C11"/>
    <w:multiLevelType w:val="hybridMultilevel"/>
    <w:tmpl w:val="CD2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33AAF"/>
    <w:multiLevelType w:val="multilevel"/>
    <w:tmpl w:val="C7AA4C4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BB4335A"/>
    <w:multiLevelType w:val="singleLevel"/>
    <w:tmpl w:val="97FE8A6E"/>
    <w:lvl w:ilvl="0">
      <w:start w:val="1"/>
      <w:numFmt w:val="decimal"/>
      <w:lvlText w:val="[%1]"/>
      <w:legacy w:legacy="1" w:legacySpace="0" w:legacyIndent="340"/>
      <w:lvlJc w:val="left"/>
      <w:pPr>
        <w:ind w:left="340" w:hanging="340"/>
      </w:pPr>
      <w:rPr>
        <w:rFonts w:ascii="Times New Roman" w:hAnsi="Times New Roman" w:hint="default"/>
      </w:rPr>
    </w:lvl>
  </w:abstractNum>
  <w:abstractNum w:abstractNumId="7">
    <w:nsid w:val="48B505F3"/>
    <w:multiLevelType w:val="multilevel"/>
    <w:tmpl w:val="B2504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3"/>
  </w:num>
  <w:num w:numId="3">
    <w:abstractNumId w:val="1"/>
  </w:num>
  <w:num w:numId="4">
    <w:abstractNumId w:val="0"/>
  </w:num>
  <w:num w:numId="5">
    <w:abstractNumId w:val="6"/>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41D2F"/>
    <w:rsid w:val="000006E3"/>
    <w:rsid w:val="000009DA"/>
    <w:rsid w:val="0000234F"/>
    <w:rsid w:val="0000668D"/>
    <w:rsid w:val="0001182F"/>
    <w:rsid w:val="00012390"/>
    <w:rsid w:val="00021CD5"/>
    <w:rsid w:val="00025F80"/>
    <w:rsid w:val="00030A71"/>
    <w:rsid w:val="00034026"/>
    <w:rsid w:val="000419C9"/>
    <w:rsid w:val="0004298E"/>
    <w:rsid w:val="000461D5"/>
    <w:rsid w:val="00051D4A"/>
    <w:rsid w:val="000651C7"/>
    <w:rsid w:val="00071F18"/>
    <w:rsid w:val="00073E54"/>
    <w:rsid w:val="00081397"/>
    <w:rsid w:val="00087971"/>
    <w:rsid w:val="00090824"/>
    <w:rsid w:val="000A1710"/>
    <w:rsid w:val="000A1EB0"/>
    <w:rsid w:val="000A1FC4"/>
    <w:rsid w:val="000A6494"/>
    <w:rsid w:val="000B6848"/>
    <w:rsid w:val="000C23C3"/>
    <w:rsid w:val="000D6D47"/>
    <w:rsid w:val="000E2D3A"/>
    <w:rsid w:val="000E6062"/>
    <w:rsid w:val="000F7052"/>
    <w:rsid w:val="000F7C06"/>
    <w:rsid w:val="00100290"/>
    <w:rsid w:val="00102E44"/>
    <w:rsid w:val="00105417"/>
    <w:rsid w:val="00107C70"/>
    <w:rsid w:val="00113CEB"/>
    <w:rsid w:val="00123BB3"/>
    <w:rsid w:val="00125551"/>
    <w:rsid w:val="00130E39"/>
    <w:rsid w:val="00146FD7"/>
    <w:rsid w:val="001477A9"/>
    <w:rsid w:val="00147D46"/>
    <w:rsid w:val="00151538"/>
    <w:rsid w:val="00172137"/>
    <w:rsid w:val="00181AEC"/>
    <w:rsid w:val="0018738D"/>
    <w:rsid w:val="00191573"/>
    <w:rsid w:val="001A6C87"/>
    <w:rsid w:val="001A723A"/>
    <w:rsid w:val="001B1209"/>
    <w:rsid w:val="001B405A"/>
    <w:rsid w:val="001B5AC3"/>
    <w:rsid w:val="001B72E7"/>
    <w:rsid w:val="001C6FD9"/>
    <w:rsid w:val="001C77E0"/>
    <w:rsid w:val="001D0447"/>
    <w:rsid w:val="001E3C98"/>
    <w:rsid w:val="001E76BE"/>
    <w:rsid w:val="001F6CAF"/>
    <w:rsid w:val="002046C7"/>
    <w:rsid w:val="00205612"/>
    <w:rsid w:val="00205633"/>
    <w:rsid w:val="002256A4"/>
    <w:rsid w:val="00230EF0"/>
    <w:rsid w:val="00232AF6"/>
    <w:rsid w:val="00235D11"/>
    <w:rsid w:val="00243288"/>
    <w:rsid w:val="002447F0"/>
    <w:rsid w:val="00244950"/>
    <w:rsid w:val="00246A32"/>
    <w:rsid w:val="002500B9"/>
    <w:rsid w:val="00250EB7"/>
    <w:rsid w:val="0025161C"/>
    <w:rsid w:val="0025326A"/>
    <w:rsid w:val="00257868"/>
    <w:rsid w:val="00261019"/>
    <w:rsid w:val="002668A6"/>
    <w:rsid w:val="002677BC"/>
    <w:rsid w:val="002710F0"/>
    <w:rsid w:val="002711BF"/>
    <w:rsid w:val="002756A6"/>
    <w:rsid w:val="0028657D"/>
    <w:rsid w:val="00293B33"/>
    <w:rsid w:val="00295810"/>
    <w:rsid w:val="002C7FF6"/>
    <w:rsid w:val="002D031A"/>
    <w:rsid w:val="002D06FC"/>
    <w:rsid w:val="002D10E5"/>
    <w:rsid w:val="002D5F21"/>
    <w:rsid w:val="002D5F44"/>
    <w:rsid w:val="002E2799"/>
    <w:rsid w:val="002E29AE"/>
    <w:rsid w:val="002E4B83"/>
    <w:rsid w:val="002F4E6A"/>
    <w:rsid w:val="0030290C"/>
    <w:rsid w:val="00306BC7"/>
    <w:rsid w:val="003071F7"/>
    <w:rsid w:val="00311B4D"/>
    <w:rsid w:val="00315F15"/>
    <w:rsid w:val="003163FB"/>
    <w:rsid w:val="0032056F"/>
    <w:rsid w:val="003315F7"/>
    <w:rsid w:val="00345ADA"/>
    <w:rsid w:val="00352AEF"/>
    <w:rsid w:val="0036239C"/>
    <w:rsid w:val="0036404A"/>
    <w:rsid w:val="00377D5F"/>
    <w:rsid w:val="00381B88"/>
    <w:rsid w:val="003848B1"/>
    <w:rsid w:val="003853DF"/>
    <w:rsid w:val="00397B8F"/>
    <w:rsid w:val="003B51DA"/>
    <w:rsid w:val="003B7A39"/>
    <w:rsid w:val="003C112B"/>
    <w:rsid w:val="003D159A"/>
    <w:rsid w:val="003D302D"/>
    <w:rsid w:val="003D54F4"/>
    <w:rsid w:val="003E0390"/>
    <w:rsid w:val="003E0774"/>
    <w:rsid w:val="003E37BB"/>
    <w:rsid w:val="003F6C62"/>
    <w:rsid w:val="0040195F"/>
    <w:rsid w:val="00407976"/>
    <w:rsid w:val="00410A59"/>
    <w:rsid w:val="004114B9"/>
    <w:rsid w:val="004152DA"/>
    <w:rsid w:val="00416F5A"/>
    <w:rsid w:val="00423FC5"/>
    <w:rsid w:val="00427686"/>
    <w:rsid w:val="00430DB5"/>
    <w:rsid w:val="00434A2C"/>
    <w:rsid w:val="00442BD2"/>
    <w:rsid w:val="0044780A"/>
    <w:rsid w:val="004533AD"/>
    <w:rsid w:val="004577D8"/>
    <w:rsid w:val="0046559E"/>
    <w:rsid w:val="00475C50"/>
    <w:rsid w:val="00484272"/>
    <w:rsid w:val="004878E0"/>
    <w:rsid w:val="00494D72"/>
    <w:rsid w:val="004A10C4"/>
    <w:rsid w:val="004A4AC7"/>
    <w:rsid w:val="004A5044"/>
    <w:rsid w:val="004B24B0"/>
    <w:rsid w:val="004B2EF7"/>
    <w:rsid w:val="004C060A"/>
    <w:rsid w:val="004C251E"/>
    <w:rsid w:val="004D1650"/>
    <w:rsid w:val="004D2056"/>
    <w:rsid w:val="004D33AB"/>
    <w:rsid w:val="004D7C4D"/>
    <w:rsid w:val="004E19A4"/>
    <w:rsid w:val="004E44B3"/>
    <w:rsid w:val="004E758D"/>
    <w:rsid w:val="004F2A45"/>
    <w:rsid w:val="004F6D58"/>
    <w:rsid w:val="00506B72"/>
    <w:rsid w:val="00515121"/>
    <w:rsid w:val="0051553E"/>
    <w:rsid w:val="005159B8"/>
    <w:rsid w:val="00520E2F"/>
    <w:rsid w:val="0052268B"/>
    <w:rsid w:val="00523657"/>
    <w:rsid w:val="0052726B"/>
    <w:rsid w:val="00527616"/>
    <w:rsid w:val="00533849"/>
    <w:rsid w:val="00537700"/>
    <w:rsid w:val="00541D8C"/>
    <w:rsid w:val="005422FC"/>
    <w:rsid w:val="00543E46"/>
    <w:rsid w:val="0055125F"/>
    <w:rsid w:val="00553315"/>
    <w:rsid w:val="00553EAF"/>
    <w:rsid w:val="00557059"/>
    <w:rsid w:val="00557BA7"/>
    <w:rsid w:val="00563B3B"/>
    <w:rsid w:val="005661F2"/>
    <w:rsid w:val="005711C0"/>
    <w:rsid w:val="00571243"/>
    <w:rsid w:val="00572028"/>
    <w:rsid w:val="005758B6"/>
    <w:rsid w:val="005818FF"/>
    <w:rsid w:val="00581A83"/>
    <w:rsid w:val="00585A43"/>
    <w:rsid w:val="00586092"/>
    <w:rsid w:val="005933E0"/>
    <w:rsid w:val="005973A3"/>
    <w:rsid w:val="005A58CF"/>
    <w:rsid w:val="005A75A9"/>
    <w:rsid w:val="005B4BEB"/>
    <w:rsid w:val="005B6087"/>
    <w:rsid w:val="005B6233"/>
    <w:rsid w:val="005C491B"/>
    <w:rsid w:val="005D6BD4"/>
    <w:rsid w:val="005E28A0"/>
    <w:rsid w:val="005F37EC"/>
    <w:rsid w:val="005F5E92"/>
    <w:rsid w:val="00605C65"/>
    <w:rsid w:val="00606425"/>
    <w:rsid w:val="0060684E"/>
    <w:rsid w:val="00614B85"/>
    <w:rsid w:val="006154A2"/>
    <w:rsid w:val="0062099E"/>
    <w:rsid w:val="00621ADB"/>
    <w:rsid w:val="00631C91"/>
    <w:rsid w:val="00632298"/>
    <w:rsid w:val="00633B53"/>
    <w:rsid w:val="006361A6"/>
    <w:rsid w:val="006426A7"/>
    <w:rsid w:val="006461C9"/>
    <w:rsid w:val="00653AFF"/>
    <w:rsid w:val="00653D43"/>
    <w:rsid w:val="00662055"/>
    <w:rsid w:val="00663C09"/>
    <w:rsid w:val="006733B5"/>
    <w:rsid w:val="006778FC"/>
    <w:rsid w:val="0068016F"/>
    <w:rsid w:val="006833E1"/>
    <w:rsid w:val="00686EA5"/>
    <w:rsid w:val="0069079E"/>
    <w:rsid w:val="00692414"/>
    <w:rsid w:val="006A12DB"/>
    <w:rsid w:val="006A30DC"/>
    <w:rsid w:val="006A37C2"/>
    <w:rsid w:val="006A404E"/>
    <w:rsid w:val="006A7275"/>
    <w:rsid w:val="006B4629"/>
    <w:rsid w:val="006D0ED2"/>
    <w:rsid w:val="006D1364"/>
    <w:rsid w:val="006D79F5"/>
    <w:rsid w:val="006E606C"/>
    <w:rsid w:val="006F56A1"/>
    <w:rsid w:val="006F6E32"/>
    <w:rsid w:val="007006D2"/>
    <w:rsid w:val="00701327"/>
    <w:rsid w:val="00703154"/>
    <w:rsid w:val="00706A5C"/>
    <w:rsid w:val="00706E1E"/>
    <w:rsid w:val="0072123F"/>
    <w:rsid w:val="0072464B"/>
    <w:rsid w:val="00731D42"/>
    <w:rsid w:val="00732FBA"/>
    <w:rsid w:val="0074490E"/>
    <w:rsid w:val="00761E3F"/>
    <w:rsid w:val="00765848"/>
    <w:rsid w:val="00766208"/>
    <w:rsid w:val="00773ED9"/>
    <w:rsid w:val="007757A4"/>
    <w:rsid w:val="00785669"/>
    <w:rsid w:val="007B1B29"/>
    <w:rsid w:val="007B260F"/>
    <w:rsid w:val="007B65D9"/>
    <w:rsid w:val="007C246C"/>
    <w:rsid w:val="007C2D45"/>
    <w:rsid w:val="007C492D"/>
    <w:rsid w:val="007D6F70"/>
    <w:rsid w:val="007E36A3"/>
    <w:rsid w:val="007F19D3"/>
    <w:rsid w:val="007F64D9"/>
    <w:rsid w:val="008033C0"/>
    <w:rsid w:val="0082132A"/>
    <w:rsid w:val="00823313"/>
    <w:rsid w:val="00831BEE"/>
    <w:rsid w:val="0083276B"/>
    <w:rsid w:val="00832D79"/>
    <w:rsid w:val="00833955"/>
    <w:rsid w:val="008351CF"/>
    <w:rsid w:val="00836AED"/>
    <w:rsid w:val="0084433F"/>
    <w:rsid w:val="00865DB7"/>
    <w:rsid w:val="00866054"/>
    <w:rsid w:val="008664E9"/>
    <w:rsid w:val="00872F3C"/>
    <w:rsid w:val="008730B0"/>
    <w:rsid w:val="008745FD"/>
    <w:rsid w:val="00885AA9"/>
    <w:rsid w:val="00896843"/>
    <w:rsid w:val="00897EFD"/>
    <w:rsid w:val="008A065F"/>
    <w:rsid w:val="008A2279"/>
    <w:rsid w:val="008B0CDE"/>
    <w:rsid w:val="008C00C3"/>
    <w:rsid w:val="008C07AF"/>
    <w:rsid w:val="008D0C79"/>
    <w:rsid w:val="008D2C40"/>
    <w:rsid w:val="008D4EF6"/>
    <w:rsid w:val="008D7923"/>
    <w:rsid w:val="008E50CC"/>
    <w:rsid w:val="008F1BD6"/>
    <w:rsid w:val="00904BA7"/>
    <w:rsid w:val="00905297"/>
    <w:rsid w:val="00924908"/>
    <w:rsid w:val="0093337D"/>
    <w:rsid w:val="0093361D"/>
    <w:rsid w:val="00941D2F"/>
    <w:rsid w:val="0097417E"/>
    <w:rsid w:val="00974D9A"/>
    <w:rsid w:val="00977212"/>
    <w:rsid w:val="009807CA"/>
    <w:rsid w:val="00980BF4"/>
    <w:rsid w:val="00995908"/>
    <w:rsid w:val="009A237A"/>
    <w:rsid w:val="009A2F88"/>
    <w:rsid w:val="009B08E7"/>
    <w:rsid w:val="009B2C05"/>
    <w:rsid w:val="009B48B7"/>
    <w:rsid w:val="009C1E3C"/>
    <w:rsid w:val="009D0500"/>
    <w:rsid w:val="009F074B"/>
    <w:rsid w:val="00A04927"/>
    <w:rsid w:val="00A0694D"/>
    <w:rsid w:val="00A12BD9"/>
    <w:rsid w:val="00A25B54"/>
    <w:rsid w:val="00A3033C"/>
    <w:rsid w:val="00A342BF"/>
    <w:rsid w:val="00A51691"/>
    <w:rsid w:val="00A52C4C"/>
    <w:rsid w:val="00A535C3"/>
    <w:rsid w:val="00A561C1"/>
    <w:rsid w:val="00A76573"/>
    <w:rsid w:val="00A77ADA"/>
    <w:rsid w:val="00A9624C"/>
    <w:rsid w:val="00A971C9"/>
    <w:rsid w:val="00AA6F5F"/>
    <w:rsid w:val="00AB4642"/>
    <w:rsid w:val="00AC2133"/>
    <w:rsid w:val="00AC7A00"/>
    <w:rsid w:val="00AE3DA2"/>
    <w:rsid w:val="00AF5154"/>
    <w:rsid w:val="00B02B66"/>
    <w:rsid w:val="00B02FDB"/>
    <w:rsid w:val="00B05454"/>
    <w:rsid w:val="00B126C5"/>
    <w:rsid w:val="00B13869"/>
    <w:rsid w:val="00B14CEF"/>
    <w:rsid w:val="00B1663B"/>
    <w:rsid w:val="00B20F43"/>
    <w:rsid w:val="00B21539"/>
    <w:rsid w:val="00B22B34"/>
    <w:rsid w:val="00B276E3"/>
    <w:rsid w:val="00B3145D"/>
    <w:rsid w:val="00B325E4"/>
    <w:rsid w:val="00B36428"/>
    <w:rsid w:val="00B428C8"/>
    <w:rsid w:val="00B42CE2"/>
    <w:rsid w:val="00B43BED"/>
    <w:rsid w:val="00B470A6"/>
    <w:rsid w:val="00B50353"/>
    <w:rsid w:val="00B53109"/>
    <w:rsid w:val="00B6064A"/>
    <w:rsid w:val="00B615A4"/>
    <w:rsid w:val="00B61A75"/>
    <w:rsid w:val="00B6280D"/>
    <w:rsid w:val="00B65E68"/>
    <w:rsid w:val="00B67B4B"/>
    <w:rsid w:val="00B702E3"/>
    <w:rsid w:val="00B7415F"/>
    <w:rsid w:val="00B759F9"/>
    <w:rsid w:val="00B81A39"/>
    <w:rsid w:val="00B959BC"/>
    <w:rsid w:val="00BB39DF"/>
    <w:rsid w:val="00BC244F"/>
    <w:rsid w:val="00BC34EA"/>
    <w:rsid w:val="00BD2995"/>
    <w:rsid w:val="00BD6B22"/>
    <w:rsid w:val="00BE14D7"/>
    <w:rsid w:val="00BE382B"/>
    <w:rsid w:val="00C0150D"/>
    <w:rsid w:val="00C15268"/>
    <w:rsid w:val="00C214EF"/>
    <w:rsid w:val="00C2612E"/>
    <w:rsid w:val="00C31945"/>
    <w:rsid w:val="00C43A55"/>
    <w:rsid w:val="00C53956"/>
    <w:rsid w:val="00C56D6A"/>
    <w:rsid w:val="00C60FA8"/>
    <w:rsid w:val="00C6127E"/>
    <w:rsid w:val="00C625DD"/>
    <w:rsid w:val="00C63AF8"/>
    <w:rsid w:val="00C76DBF"/>
    <w:rsid w:val="00C81E0C"/>
    <w:rsid w:val="00C86F5A"/>
    <w:rsid w:val="00C9027E"/>
    <w:rsid w:val="00C925D1"/>
    <w:rsid w:val="00C9663C"/>
    <w:rsid w:val="00C971AB"/>
    <w:rsid w:val="00CB462C"/>
    <w:rsid w:val="00CB66D1"/>
    <w:rsid w:val="00CC5FA4"/>
    <w:rsid w:val="00CD0D01"/>
    <w:rsid w:val="00CD1742"/>
    <w:rsid w:val="00CD428A"/>
    <w:rsid w:val="00CE5D5D"/>
    <w:rsid w:val="00CE7ADC"/>
    <w:rsid w:val="00CF00B3"/>
    <w:rsid w:val="00CF3B0F"/>
    <w:rsid w:val="00D00279"/>
    <w:rsid w:val="00D1624F"/>
    <w:rsid w:val="00D27C6C"/>
    <w:rsid w:val="00D27FCA"/>
    <w:rsid w:val="00D35597"/>
    <w:rsid w:val="00D46353"/>
    <w:rsid w:val="00D504F1"/>
    <w:rsid w:val="00D563D9"/>
    <w:rsid w:val="00D71958"/>
    <w:rsid w:val="00D80054"/>
    <w:rsid w:val="00D8375A"/>
    <w:rsid w:val="00D839ED"/>
    <w:rsid w:val="00D8457F"/>
    <w:rsid w:val="00D903B2"/>
    <w:rsid w:val="00D91F63"/>
    <w:rsid w:val="00D9263F"/>
    <w:rsid w:val="00DA6BA2"/>
    <w:rsid w:val="00DB02E1"/>
    <w:rsid w:val="00DB02EA"/>
    <w:rsid w:val="00DB2611"/>
    <w:rsid w:val="00DB67E4"/>
    <w:rsid w:val="00DB740E"/>
    <w:rsid w:val="00DB7A38"/>
    <w:rsid w:val="00DC0E4D"/>
    <w:rsid w:val="00DD286D"/>
    <w:rsid w:val="00DD6205"/>
    <w:rsid w:val="00DD64F3"/>
    <w:rsid w:val="00DE24F4"/>
    <w:rsid w:val="00DE44B6"/>
    <w:rsid w:val="00DE63C5"/>
    <w:rsid w:val="00E00042"/>
    <w:rsid w:val="00E04C12"/>
    <w:rsid w:val="00E20B7F"/>
    <w:rsid w:val="00E254D9"/>
    <w:rsid w:val="00E2786A"/>
    <w:rsid w:val="00E31D25"/>
    <w:rsid w:val="00E50695"/>
    <w:rsid w:val="00E53A40"/>
    <w:rsid w:val="00E54045"/>
    <w:rsid w:val="00E540B2"/>
    <w:rsid w:val="00E70EC1"/>
    <w:rsid w:val="00E7297C"/>
    <w:rsid w:val="00E86462"/>
    <w:rsid w:val="00E92941"/>
    <w:rsid w:val="00E94CAC"/>
    <w:rsid w:val="00E977DC"/>
    <w:rsid w:val="00EA2407"/>
    <w:rsid w:val="00EA2637"/>
    <w:rsid w:val="00EA4D13"/>
    <w:rsid w:val="00EB230D"/>
    <w:rsid w:val="00EB339D"/>
    <w:rsid w:val="00EB7083"/>
    <w:rsid w:val="00EC0A84"/>
    <w:rsid w:val="00ED3CBB"/>
    <w:rsid w:val="00EE3DCA"/>
    <w:rsid w:val="00EE446D"/>
    <w:rsid w:val="00EE6824"/>
    <w:rsid w:val="00EF38F5"/>
    <w:rsid w:val="00EF796F"/>
    <w:rsid w:val="00F0228F"/>
    <w:rsid w:val="00F06240"/>
    <w:rsid w:val="00F12DE2"/>
    <w:rsid w:val="00F14547"/>
    <w:rsid w:val="00F22D98"/>
    <w:rsid w:val="00F23779"/>
    <w:rsid w:val="00F24893"/>
    <w:rsid w:val="00F327C3"/>
    <w:rsid w:val="00F328A1"/>
    <w:rsid w:val="00F32EDC"/>
    <w:rsid w:val="00F42144"/>
    <w:rsid w:val="00F45707"/>
    <w:rsid w:val="00F47631"/>
    <w:rsid w:val="00F50ED1"/>
    <w:rsid w:val="00F54781"/>
    <w:rsid w:val="00F84C43"/>
    <w:rsid w:val="00F868CB"/>
    <w:rsid w:val="00F9653D"/>
    <w:rsid w:val="00FA0825"/>
    <w:rsid w:val="00FA0DB2"/>
    <w:rsid w:val="00FA40F3"/>
    <w:rsid w:val="00FA756A"/>
    <w:rsid w:val="00FB0BEB"/>
    <w:rsid w:val="00FB654F"/>
    <w:rsid w:val="00FC2AB9"/>
    <w:rsid w:val="00FC542D"/>
    <w:rsid w:val="00FD4157"/>
    <w:rsid w:val="00FD5BC5"/>
    <w:rsid w:val="00FE1DFB"/>
    <w:rsid w:val="00FE5FA2"/>
    <w:rsid w:val="00FE6C6F"/>
    <w:rsid w:val="00FF2094"/>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EC7355-63EA-420C-BE62-E1764FB8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link w:val="Heading1Char"/>
    <w:uiPriority w:val="9"/>
    <w:qFormat/>
    <w:pPr>
      <w:keepNext/>
      <w:spacing w:before="200" w:after="120"/>
      <w:outlineLvl w:val="0"/>
    </w:pPr>
    <w:rPr>
      <w:b/>
      <w:kern w:val="28"/>
      <w:sz w:val="28"/>
    </w:rPr>
  </w:style>
  <w:style w:type="paragraph" w:styleId="Heading2">
    <w:name w:val="heading 2"/>
    <w:basedOn w:val="Normal"/>
    <w:next w:val="Normal"/>
    <w:qFormat/>
    <w:pPr>
      <w:keepNext/>
      <w:spacing w:before="240" w:after="24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AuthorName">
    <w:name w:val="Author Name"/>
    <w:basedOn w:val="Normal"/>
    <w:pPr>
      <w:jc w:val="center"/>
    </w:pPr>
  </w:style>
  <w:style w:type="paragraph" w:styleId="Title">
    <w:name w:val="Title"/>
    <w:basedOn w:val="Normal"/>
    <w:qFormat/>
    <w:pPr>
      <w:spacing w:before="1080" w:after="240"/>
      <w:jc w:val="center"/>
      <w:outlineLvl w:val="0"/>
    </w:pPr>
    <w:rPr>
      <w:b/>
      <w:kern w:val="28"/>
      <w:sz w:val="48"/>
    </w:rPr>
  </w:style>
  <w:style w:type="paragraph" w:customStyle="1" w:styleId="AuthorAddresses">
    <w:name w:val="Author Addresses"/>
    <w:basedOn w:val="Normal"/>
    <w:pPr>
      <w:jc w:val="center"/>
    </w:pPr>
    <w:rPr>
      <w:i/>
    </w:rPr>
  </w:style>
  <w:style w:type="paragraph" w:styleId="Caption">
    <w:name w:val="caption"/>
    <w:basedOn w:val="Normal"/>
    <w:next w:val="Normal"/>
    <w:qFormat/>
    <w:pPr>
      <w:spacing w:before="120" w:after="120"/>
      <w:jc w:val="center"/>
    </w:pPr>
    <w:rPr>
      <w:i/>
      <w:sz w:val="20"/>
    </w:rPr>
  </w:style>
  <w:style w:type="paragraph" w:customStyle="1" w:styleId="Abstract">
    <w:name w:val="Abstract"/>
    <w:basedOn w:val="Normal"/>
    <w:pPr>
      <w:spacing w:before="200"/>
      <w:ind w:left="1008" w:right="1008"/>
    </w:pPr>
    <w:rPr>
      <w:sz w:val="20"/>
    </w:rPr>
  </w:style>
  <w:style w:type="paragraph" w:customStyle="1" w:styleId="Paragraph1">
    <w:name w:val="Paragraph 1"/>
    <w:basedOn w:val="Normal"/>
    <w:link w:val="Paragraph1Char"/>
    <w:pPr>
      <w:jc w:val="both"/>
    </w:pPr>
  </w:style>
  <w:style w:type="paragraph" w:customStyle="1" w:styleId="Paragraph2">
    <w:name w:val="Paragraph 2"/>
    <w:basedOn w:val="Paragraph1"/>
    <w:link w:val="Paragraph2Char"/>
    <w:pPr>
      <w:tabs>
        <w:tab w:val="left" w:pos="360"/>
      </w:tabs>
    </w:pPr>
  </w:style>
  <w:style w:type="paragraph" w:styleId="ListBullet">
    <w:name w:val="List Bullet"/>
    <w:basedOn w:val="Normal"/>
    <w:autoRedefine/>
    <w:semiHidden/>
    <w:pPr>
      <w:numPr>
        <w:numId w:val="3"/>
      </w:numPr>
    </w:pPr>
  </w:style>
  <w:style w:type="paragraph" w:styleId="ListNumber">
    <w:name w:val="List Number"/>
    <w:basedOn w:val="Normal"/>
    <w:semiHidden/>
  </w:style>
  <w:style w:type="paragraph" w:customStyle="1" w:styleId="EndNoteBibliographyTitle">
    <w:name w:val="EndNote Bibliography Title"/>
    <w:basedOn w:val="Normal"/>
    <w:link w:val="EndNoteBibliographyTitleChar"/>
    <w:rsid w:val="004152DA"/>
    <w:pPr>
      <w:jc w:val="center"/>
    </w:pPr>
    <w:rPr>
      <w:noProof/>
      <w:lang w:val="en-US"/>
    </w:rPr>
  </w:style>
  <w:style w:type="character" w:customStyle="1" w:styleId="Paragraph1Char">
    <w:name w:val="Paragraph 1 Char"/>
    <w:link w:val="Paragraph1"/>
    <w:rsid w:val="004152DA"/>
    <w:rPr>
      <w:sz w:val="24"/>
      <w:lang w:val="en-GB"/>
    </w:rPr>
  </w:style>
  <w:style w:type="character" w:customStyle="1" w:styleId="Paragraph2Char">
    <w:name w:val="Paragraph 2 Char"/>
    <w:basedOn w:val="Paragraph1Char"/>
    <w:link w:val="Paragraph2"/>
    <w:rsid w:val="004152DA"/>
    <w:rPr>
      <w:sz w:val="24"/>
      <w:lang w:val="en-GB"/>
    </w:rPr>
  </w:style>
  <w:style w:type="character" w:customStyle="1" w:styleId="EndNoteBibliographyTitleChar">
    <w:name w:val="EndNote Bibliography Title Char"/>
    <w:link w:val="EndNoteBibliographyTitle"/>
    <w:rsid w:val="004152DA"/>
    <w:rPr>
      <w:noProof/>
      <w:sz w:val="24"/>
      <w:lang w:val="en-GB"/>
    </w:rPr>
  </w:style>
  <w:style w:type="paragraph" w:customStyle="1" w:styleId="EndNoteBibliography">
    <w:name w:val="EndNote Bibliography"/>
    <w:basedOn w:val="Normal"/>
    <w:link w:val="EndNoteBibliographyChar"/>
    <w:rsid w:val="004152DA"/>
    <w:pPr>
      <w:jc w:val="both"/>
    </w:pPr>
    <w:rPr>
      <w:noProof/>
      <w:lang w:val="en-US"/>
    </w:rPr>
  </w:style>
  <w:style w:type="character" w:customStyle="1" w:styleId="EndNoteBibliographyChar">
    <w:name w:val="EndNote Bibliography Char"/>
    <w:link w:val="EndNoteBibliography"/>
    <w:rsid w:val="004152DA"/>
    <w:rPr>
      <w:noProof/>
      <w:sz w:val="24"/>
      <w:lang w:val="en-GB"/>
    </w:rPr>
  </w:style>
  <w:style w:type="paragraph" w:styleId="Header">
    <w:name w:val="header"/>
    <w:basedOn w:val="Normal"/>
    <w:link w:val="HeaderChar"/>
    <w:uiPriority w:val="99"/>
    <w:unhideWhenUsed/>
    <w:rsid w:val="00C56D6A"/>
    <w:pPr>
      <w:tabs>
        <w:tab w:val="center" w:pos="4680"/>
        <w:tab w:val="right" w:pos="9360"/>
      </w:tabs>
    </w:pPr>
  </w:style>
  <w:style w:type="character" w:customStyle="1" w:styleId="HeaderChar">
    <w:name w:val="Header Char"/>
    <w:link w:val="Header"/>
    <w:uiPriority w:val="99"/>
    <w:rsid w:val="00C56D6A"/>
    <w:rPr>
      <w:sz w:val="24"/>
      <w:lang w:val="en-GB"/>
    </w:rPr>
  </w:style>
  <w:style w:type="paragraph" w:styleId="Footer">
    <w:name w:val="footer"/>
    <w:basedOn w:val="Normal"/>
    <w:link w:val="FooterChar"/>
    <w:uiPriority w:val="99"/>
    <w:unhideWhenUsed/>
    <w:rsid w:val="00C56D6A"/>
    <w:pPr>
      <w:tabs>
        <w:tab w:val="center" w:pos="4680"/>
        <w:tab w:val="right" w:pos="9360"/>
      </w:tabs>
    </w:pPr>
  </w:style>
  <w:style w:type="character" w:customStyle="1" w:styleId="FooterChar">
    <w:name w:val="Footer Char"/>
    <w:link w:val="Footer"/>
    <w:uiPriority w:val="99"/>
    <w:rsid w:val="00C56D6A"/>
    <w:rPr>
      <w:sz w:val="24"/>
      <w:lang w:val="en-GB"/>
    </w:rPr>
  </w:style>
  <w:style w:type="paragraph" w:styleId="NormalWeb">
    <w:name w:val="Normal (Web)"/>
    <w:basedOn w:val="Normal"/>
    <w:uiPriority w:val="99"/>
    <w:semiHidden/>
    <w:unhideWhenUsed/>
    <w:rsid w:val="001477A9"/>
    <w:pPr>
      <w:spacing w:before="100" w:beforeAutospacing="1" w:after="100" w:afterAutospacing="1"/>
    </w:pPr>
    <w:rPr>
      <w:szCs w:val="24"/>
      <w:lang w:val="en-US"/>
    </w:rPr>
  </w:style>
  <w:style w:type="character" w:styleId="Strong">
    <w:name w:val="Strong"/>
    <w:uiPriority w:val="22"/>
    <w:qFormat/>
    <w:rsid w:val="00773ED9"/>
    <w:rPr>
      <w:b/>
      <w:bCs/>
    </w:rPr>
  </w:style>
  <w:style w:type="character" w:styleId="FollowedHyperlink">
    <w:name w:val="FollowedHyperlink"/>
    <w:uiPriority w:val="99"/>
    <w:semiHidden/>
    <w:unhideWhenUsed/>
    <w:rsid w:val="00FA0825"/>
    <w:rPr>
      <w:color w:val="954F72"/>
      <w:u w:val="single"/>
    </w:rPr>
  </w:style>
  <w:style w:type="paragraph" w:customStyle="1" w:styleId="SAP-Paragraph">
    <w:name w:val="SAP-Paragraph"/>
    <w:link w:val="SAP-ParagraphChar"/>
    <w:rsid w:val="00100290"/>
    <w:pPr>
      <w:adjustRightInd w:val="0"/>
      <w:snapToGrid w:val="0"/>
      <w:spacing w:line="240" w:lineRule="exact"/>
      <w:ind w:firstLineChars="100" w:firstLine="100"/>
      <w:jc w:val="both"/>
    </w:pPr>
    <w:rPr>
      <w:szCs w:val="24"/>
      <w:lang w:val="en-AU" w:eastAsia="zh-CN"/>
    </w:rPr>
  </w:style>
  <w:style w:type="character" w:customStyle="1" w:styleId="SAP-ParagraphChar">
    <w:name w:val="SAP-Paragraph Char"/>
    <w:link w:val="SAP-Paragraph"/>
    <w:rsid w:val="00100290"/>
    <w:rPr>
      <w:szCs w:val="24"/>
      <w:lang w:val="en-AU" w:eastAsia="zh-CN"/>
    </w:rPr>
  </w:style>
  <w:style w:type="table" w:styleId="TableGrid">
    <w:name w:val="Table Grid"/>
    <w:basedOn w:val="TableNormal"/>
    <w:uiPriority w:val="59"/>
    <w:rsid w:val="00E7297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B81A39"/>
  </w:style>
  <w:style w:type="character" w:customStyle="1" w:styleId="Heading1Char">
    <w:name w:val="Heading 1 Char"/>
    <w:link w:val="Heading1"/>
    <w:uiPriority w:val="9"/>
    <w:rsid w:val="00B81A39"/>
    <w:rPr>
      <w:b/>
      <w:kern w:val="28"/>
      <w:sz w:val="28"/>
      <w:lang w:val="en-GB"/>
    </w:rPr>
  </w:style>
  <w:style w:type="paragraph" w:styleId="BalloonText">
    <w:name w:val="Balloon Text"/>
    <w:basedOn w:val="Normal"/>
    <w:link w:val="BalloonTextChar"/>
    <w:uiPriority w:val="99"/>
    <w:semiHidden/>
    <w:unhideWhenUsed/>
    <w:rsid w:val="00B959BC"/>
    <w:rPr>
      <w:rFonts w:ascii="Tahoma" w:hAnsi="Tahoma" w:cs="Tahoma"/>
      <w:sz w:val="16"/>
      <w:szCs w:val="16"/>
    </w:rPr>
  </w:style>
  <w:style w:type="character" w:customStyle="1" w:styleId="BalloonTextChar">
    <w:name w:val="Balloon Text Char"/>
    <w:basedOn w:val="DefaultParagraphFont"/>
    <w:link w:val="BalloonText"/>
    <w:uiPriority w:val="99"/>
    <w:semiHidden/>
    <w:rsid w:val="00B959BC"/>
    <w:rPr>
      <w:rFonts w:ascii="Tahoma" w:hAnsi="Tahoma" w:cs="Tahoma"/>
      <w:sz w:val="16"/>
      <w:szCs w:val="16"/>
      <w:lang w:val="en-GB"/>
    </w:rPr>
  </w:style>
  <w:style w:type="paragraph" w:customStyle="1" w:styleId="Default">
    <w:name w:val="Default"/>
    <w:rsid w:val="004E44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886">
      <w:bodyDiv w:val="1"/>
      <w:marLeft w:val="0"/>
      <w:marRight w:val="0"/>
      <w:marTop w:val="0"/>
      <w:marBottom w:val="0"/>
      <w:divBdr>
        <w:top w:val="none" w:sz="0" w:space="0" w:color="auto"/>
        <w:left w:val="none" w:sz="0" w:space="0" w:color="auto"/>
        <w:bottom w:val="none" w:sz="0" w:space="0" w:color="auto"/>
        <w:right w:val="none" w:sz="0" w:space="0" w:color="auto"/>
      </w:divBdr>
    </w:div>
    <w:div w:id="35856055">
      <w:bodyDiv w:val="1"/>
      <w:marLeft w:val="0"/>
      <w:marRight w:val="0"/>
      <w:marTop w:val="0"/>
      <w:marBottom w:val="0"/>
      <w:divBdr>
        <w:top w:val="none" w:sz="0" w:space="0" w:color="auto"/>
        <w:left w:val="none" w:sz="0" w:space="0" w:color="auto"/>
        <w:bottom w:val="none" w:sz="0" w:space="0" w:color="auto"/>
        <w:right w:val="none" w:sz="0" w:space="0" w:color="auto"/>
      </w:divBdr>
    </w:div>
    <w:div w:id="96869899">
      <w:bodyDiv w:val="1"/>
      <w:marLeft w:val="0"/>
      <w:marRight w:val="0"/>
      <w:marTop w:val="0"/>
      <w:marBottom w:val="0"/>
      <w:divBdr>
        <w:top w:val="none" w:sz="0" w:space="0" w:color="auto"/>
        <w:left w:val="none" w:sz="0" w:space="0" w:color="auto"/>
        <w:bottom w:val="none" w:sz="0" w:space="0" w:color="auto"/>
        <w:right w:val="none" w:sz="0" w:space="0" w:color="auto"/>
      </w:divBdr>
    </w:div>
    <w:div w:id="150563682">
      <w:bodyDiv w:val="1"/>
      <w:marLeft w:val="0"/>
      <w:marRight w:val="0"/>
      <w:marTop w:val="0"/>
      <w:marBottom w:val="0"/>
      <w:divBdr>
        <w:top w:val="none" w:sz="0" w:space="0" w:color="auto"/>
        <w:left w:val="none" w:sz="0" w:space="0" w:color="auto"/>
        <w:bottom w:val="none" w:sz="0" w:space="0" w:color="auto"/>
        <w:right w:val="none" w:sz="0" w:space="0" w:color="auto"/>
      </w:divBdr>
    </w:div>
    <w:div w:id="229921539">
      <w:bodyDiv w:val="1"/>
      <w:marLeft w:val="0"/>
      <w:marRight w:val="0"/>
      <w:marTop w:val="0"/>
      <w:marBottom w:val="0"/>
      <w:divBdr>
        <w:top w:val="none" w:sz="0" w:space="0" w:color="auto"/>
        <w:left w:val="none" w:sz="0" w:space="0" w:color="auto"/>
        <w:bottom w:val="none" w:sz="0" w:space="0" w:color="auto"/>
        <w:right w:val="none" w:sz="0" w:space="0" w:color="auto"/>
      </w:divBdr>
    </w:div>
    <w:div w:id="230166379">
      <w:bodyDiv w:val="1"/>
      <w:marLeft w:val="0"/>
      <w:marRight w:val="0"/>
      <w:marTop w:val="0"/>
      <w:marBottom w:val="0"/>
      <w:divBdr>
        <w:top w:val="none" w:sz="0" w:space="0" w:color="auto"/>
        <w:left w:val="none" w:sz="0" w:space="0" w:color="auto"/>
        <w:bottom w:val="none" w:sz="0" w:space="0" w:color="auto"/>
        <w:right w:val="none" w:sz="0" w:space="0" w:color="auto"/>
      </w:divBdr>
    </w:div>
    <w:div w:id="387652194">
      <w:bodyDiv w:val="1"/>
      <w:marLeft w:val="0"/>
      <w:marRight w:val="0"/>
      <w:marTop w:val="0"/>
      <w:marBottom w:val="0"/>
      <w:divBdr>
        <w:top w:val="none" w:sz="0" w:space="0" w:color="auto"/>
        <w:left w:val="none" w:sz="0" w:space="0" w:color="auto"/>
        <w:bottom w:val="none" w:sz="0" w:space="0" w:color="auto"/>
        <w:right w:val="none" w:sz="0" w:space="0" w:color="auto"/>
      </w:divBdr>
    </w:div>
    <w:div w:id="419834115">
      <w:bodyDiv w:val="1"/>
      <w:marLeft w:val="0"/>
      <w:marRight w:val="0"/>
      <w:marTop w:val="0"/>
      <w:marBottom w:val="0"/>
      <w:divBdr>
        <w:top w:val="none" w:sz="0" w:space="0" w:color="auto"/>
        <w:left w:val="none" w:sz="0" w:space="0" w:color="auto"/>
        <w:bottom w:val="none" w:sz="0" w:space="0" w:color="auto"/>
        <w:right w:val="none" w:sz="0" w:space="0" w:color="auto"/>
      </w:divBdr>
    </w:div>
    <w:div w:id="485829858">
      <w:bodyDiv w:val="1"/>
      <w:marLeft w:val="0"/>
      <w:marRight w:val="0"/>
      <w:marTop w:val="0"/>
      <w:marBottom w:val="0"/>
      <w:divBdr>
        <w:top w:val="none" w:sz="0" w:space="0" w:color="auto"/>
        <w:left w:val="none" w:sz="0" w:space="0" w:color="auto"/>
        <w:bottom w:val="none" w:sz="0" w:space="0" w:color="auto"/>
        <w:right w:val="none" w:sz="0" w:space="0" w:color="auto"/>
      </w:divBdr>
    </w:div>
    <w:div w:id="543719093">
      <w:bodyDiv w:val="1"/>
      <w:marLeft w:val="0"/>
      <w:marRight w:val="0"/>
      <w:marTop w:val="0"/>
      <w:marBottom w:val="0"/>
      <w:divBdr>
        <w:top w:val="none" w:sz="0" w:space="0" w:color="auto"/>
        <w:left w:val="none" w:sz="0" w:space="0" w:color="auto"/>
        <w:bottom w:val="none" w:sz="0" w:space="0" w:color="auto"/>
        <w:right w:val="none" w:sz="0" w:space="0" w:color="auto"/>
      </w:divBdr>
    </w:div>
    <w:div w:id="577053800">
      <w:bodyDiv w:val="1"/>
      <w:marLeft w:val="0"/>
      <w:marRight w:val="0"/>
      <w:marTop w:val="0"/>
      <w:marBottom w:val="0"/>
      <w:divBdr>
        <w:top w:val="none" w:sz="0" w:space="0" w:color="auto"/>
        <w:left w:val="none" w:sz="0" w:space="0" w:color="auto"/>
        <w:bottom w:val="none" w:sz="0" w:space="0" w:color="auto"/>
        <w:right w:val="none" w:sz="0" w:space="0" w:color="auto"/>
      </w:divBdr>
    </w:div>
    <w:div w:id="635526244">
      <w:bodyDiv w:val="1"/>
      <w:marLeft w:val="0"/>
      <w:marRight w:val="0"/>
      <w:marTop w:val="0"/>
      <w:marBottom w:val="0"/>
      <w:divBdr>
        <w:top w:val="none" w:sz="0" w:space="0" w:color="auto"/>
        <w:left w:val="none" w:sz="0" w:space="0" w:color="auto"/>
        <w:bottom w:val="none" w:sz="0" w:space="0" w:color="auto"/>
        <w:right w:val="none" w:sz="0" w:space="0" w:color="auto"/>
      </w:divBdr>
    </w:div>
    <w:div w:id="698625062">
      <w:bodyDiv w:val="1"/>
      <w:marLeft w:val="0"/>
      <w:marRight w:val="0"/>
      <w:marTop w:val="0"/>
      <w:marBottom w:val="0"/>
      <w:divBdr>
        <w:top w:val="none" w:sz="0" w:space="0" w:color="auto"/>
        <w:left w:val="none" w:sz="0" w:space="0" w:color="auto"/>
        <w:bottom w:val="none" w:sz="0" w:space="0" w:color="auto"/>
        <w:right w:val="none" w:sz="0" w:space="0" w:color="auto"/>
      </w:divBdr>
    </w:div>
    <w:div w:id="764421254">
      <w:bodyDiv w:val="1"/>
      <w:marLeft w:val="0"/>
      <w:marRight w:val="0"/>
      <w:marTop w:val="0"/>
      <w:marBottom w:val="0"/>
      <w:divBdr>
        <w:top w:val="none" w:sz="0" w:space="0" w:color="auto"/>
        <w:left w:val="none" w:sz="0" w:space="0" w:color="auto"/>
        <w:bottom w:val="none" w:sz="0" w:space="0" w:color="auto"/>
        <w:right w:val="none" w:sz="0" w:space="0" w:color="auto"/>
      </w:divBdr>
    </w:div>
    <w:div w:id="861628577">
      <w:bodyDiv w:val="1"/>
      <w:marLeft w:val="0"/>
      <w:marRight w:val="0"/>
      <w:marTop w:val="0"/>
      <w:marBottom w:val="0"/>
      <w:divBdr>
        <w:top w:val="none" w:sz="0" w:space="0" w:color="auto"/>
        <w:left w:val="none" w:sz="0" w:space="0" w:color="auto"/>
        <w:bottom w:val="none" w:sz="0" w:space="0" w:color="auto"/>
        <w:right w:val="none" w:sz="0" w:space="0" w:color="auto"/>
      </w:divBdr>
    </w:div>
    <w:div w:id="922686582">
      <w:bodyDiv w:val="1"/>
      <w:marLeft w:val="0"/>
      <w:marRight w:val="0"/>
      <w:marTop w:val="0"/>
      <w:marBottom w:val="0"/>
      <w:divBdr>
        <w:top w:val="none" w:sz="0" w:space="0" w:color="auto"/>
        <w:left w:val="none" w:sz="0" w:space="0" w:color="auto"/>
        <w:bottom w:val="none" w:sz="0" w:space="0" w:color="auto"/>
        <w:right w:val="none" w:sz="0" w:space="0" w:color="auto"/>
      </w:divBdr>
    </w:div>
    <w:div w:id="930508374">
      <w:bodyDiv w:val="1"/>
      <w:marLeft w:val="0"/>
      <w:marRight w:val="0"/>
      <w:marTop w:val="0"/>
      <w:marBottom w:val="0"/>
      <w:divBdr>
        <w:top w:val="none" w:sz="0" w:space="0" w:color="auto"/>
        <w:left w:val="none" w:sz="0" w:space="0" w:color="auto"/>
        <w:bottom w:val="none" w:sz="0" w:space="0" w:color="auto"/>
        <w:right w:val="none" w:sz="0" w:space="0" w:color="auto"/>
      </w:divBdr>
    </w:div>
    <w:div w:id="941108805">
      <w:bodyDiv w:val="1"/>
      <w:marLeft w:val="0"/>
      <w:marRight w:val="0"/>
      <w:marTop w:val="0"/>
      <w:marBottom w:val="0"/>
      <w:divBdr>
        <w:top w:val="none" w:sz="0" w:space="0" w:color="auto"/>
        <w:left w:val="none" w:sz="0" w:space="0" w:color="auto"/>
        <w:bottom w:val="none" w:sz="0" w:space="0" w:color="auto"/>
        <w:right w:val="none" w:sz="0" w:space="0" w:color="auto"/>
      </w:divBdr>
    </w:div>
    <w:div w:id="961423880">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37698344">
      <w:bodyDiv w:val="1"/>
      <w:marLeft w:val="0"/>
      <w:marRight w:val="0"/>
      <w:marTop w:val="0"/>
      <w:marBottom w:val="0"/>
      <w:divBdr>
        <w:top w:val="none" w:sz="0" w:space="0" w:color="auto"/>
        <w:left w:val="none" w:sz="0" w:space="0" w:color="auto"/>
        <w:bottom w:val="none" w:sz="0" w:space="0" w:color="auto"/>
        <w:right w:val="none" w:sz="0" w:space="0" w:color="auto"/>
      </w:divBdr>
    </w:div>
    <w:div w:id="1083189296">
      <w:bodyDiv w:val="1"/>
      <w:marLeft w:val="0"/>
      <w:marRight w:val="0"/>
      <w:marTop w:val="0"/>
      <w:marBottom w:val="0"/>
      <w:divBdr>
        <w:top w:val="none" w:sz="0" w:space="0" w:color="auto"/>
        <w:left w:val="none" w:sz="0" w:space="0" w:color="auto"/>
        <w:bottom w:val="none" w:sz="0" w:space="0" w:color="auto"/>
        <w:right w:val="none" w:sz="0" w:space="0" w:color="auto"/>
      </w:divBdr>
    </w:div>
    <w:div w:id="1152647258">
      <w:bodyDiv w:val="1"/>
      <w:marLeft w:val="0"/>
      <w:marRight w:val="0"/>
      <w:marTop w:val="0"/>
      <w:marBottom w:val="0"/>
      <w:divBdr>
        <w:top w:val="none" w:sz="0" w:space="0" w:color="auto"/>
        <w:left w:val="none" w:sz="0" w:space="0" w:color="auto"/>
        <w:bottom w:val="none" w:sz="0" w:space="0" w:color="auto"/>
        <w:right w:val="none" w:sz="0" w:space="0" w:color="auto"/>
      </w:divBdr>
    </w:div>
    <w:div w:id="1206678481">
      <w:bodyDiv w:val="1"/>
      <w:marLeft w:val="0"/>
      <w:marRight w:val="0"/>
      <w:marTop w:val="0"/>
      <w:marBottom w:val="0"/>
      <w:divBdr>
        <w:top w:val="none" w:sz="0" w:space="0" w:color="auto"/>
        <w:left w:val="none" w:sz="0" w:space="0" w:color="auto"/>
        <w:bottom w:val="none" w:sz="0" w:space="0" w:color="auto"/>
        <w:right w:val="none" w:sz="0" w:space="0" w:color="auto"/>
      </w:divBdr>
    </w:div>
    <w:div w:id="1229801989">
      <w:bodyDiv w:val="1"/>
      <w:marLeft w:val="0"/>
      <w:marRight w:val="0"/>
      <w:marTop w:val="0"/>
      <w:marBottom w:val="0"/>
      <w:divBdr>
        <w:top w:val="none" w:sz="0" w:space="0" w:color="auto"/>
        <w:left w:val="none" w:sz="0" w:space="0" w:color="auto"/>
        <w:bottom w:val="none" w:sz="0" w:space="0" w:color="auto"/>
        <w:right w:val="none" w:sz="0" w:space="0" w:color="auto"/>
      </w:divBdr>
    </w:div>
    <w:div w:id="1244682768">
      <w:bodyDiv w:val="1"/>
      <w:marLeft w:val="0"/>
      <w:marRight w:val="0"/>
      <w:marTop w:val="0"/>
      <w:marBottom w:val="0"/>
      <w:divBdr>
        <w:top w:val="none" w:sz="0" w:space="0" w:color="auto"/>
        <w:left w:val="none" w:sz="0" w:space="0" w:color="auto"/>
        <w:bottom w:val="none" w:sz="0" w:space="0" w:color="auto"/>
        <w:right w:val="none" w:sz="0" w:space="0" w:color="auto"/>
      </w:divBdr>
    </w:div>
    <w:div w:id="1388996056">
      <w:bodyDiv w:val="1"/>
      <w:marLeft w:val="0"/>
      <w:marRight w:val="0"/>
      <w:marTop w:val="0"/>
      <w:marBottom w:val="0"/>
      <w:divBdr>
        <w:top w:val="none" w:sz="0" w:space="0" w:color="auto"/>
        <w:left w:val="none" w:sz="0" w:space="0" w:color="auto"/>
        <w:bottom w:val="none" w:sz="0" w:space="0" w:color="auto"/>
        <w:right w:val="none" w:sz="0" w:space="0" w:color="auto"/>
      </w:divBdr>
    </w:div>
    <w:div w:id="1394809531">
      <w:bodyDiv w:val="1"/>
      <w:marLeft w:val="0"/>
      <w:marRight w:val="0"/>
      <w:marTop w:val="0"/>
      <w:marBottom w:val="0"/>
      <w:divBdr>
        <w:top w:val="none" w:sz="0" w:space="0" w:color="auto"/>
        <w:left w:val="none" w:sz="0" w:space="0" w:color="auto"/>
        <w:bottom w:val="none" w:sz="0" w:space="0" w:color="auto"/>
        <w:right w:val="none" w:sz="0" w:space="0" w:color="auto"/>
      </w:divBdr>
    </w:div>
    <w:div w:id="1483083083">
      <w:bodyDiv w:val="1"/>
      <w:marLeft w:val="0"/>
      <w:marRight w:val="0"/>
      <w:marTop w:val="0"/>
      <w:marBottom w:val="0"/>
      <w:divBdr>
        <w:top w:val="none" w:sz="0" w:space="0" w:color="auto"/>
        <w:left w:val="none" w:sz="0" w:space="0" w:color="auto"/>
        <w:bottom w:val="none" w:sz="0" w:space="0" w:color="auto"/>
        <w:right w:val="none" w:sz="0" w:space="0" w:color="auto"/>
      </w:divBdr>
    </w:div>
    <w:div w:id="1573849908">
      <w:bodyDiv w:val="1"/>
      <w:marLeft w:val="0"/>
      <w:marRight w:val="0"/>
      <w:marTop w:val="0"/>
      <w:marBottom w:val="0"/>
      <w:divBdr>
        <w:top w:val="none" w:sz="0" w:space="0" w:color="auto"/>
        <w:left w:val="none" w:sz="0" w:space="0" w:color="auto"/>
        <w:bottom w:val="none" w:sz="0" w:space="0" w:color="auto"/>
        <w:right w:val="none" w:sz="0" w:space="0" w:color="auto"/>
      </w:divBdr>
    </w:div>
    <w:div w:id="1728603417">
      <w:bodyDiv w:val="1"/>
      <w:marLeft w:val="0"/>
      <w:marRight w:val="0"/>
      <w:marTop w:val="0"/>
      <w:marBottom w:val="0"/>
      <w:divBdr>
        <w:top w:val="none" w:sz="0" w:space="0" w:color="auto"/>
        <w:left w:val="none" w:sz="0" w:space="0" w:color="auto"/>
        <w:bottom w:val="none" w:sz="0" w:space="0" w:color="auto"/>
        <w:right w:val="none" w:sz="0" w:space="0" w:color="auto"/>
      </w:divBdr>
    </w:div>
    <w:div w:id="1752391559">
      <w:bodyDiv w:val="1"/>
      <w:marLeft w:val="0"/>
      <w:marRight w:val="0"/>
      <w:marTop w:val="0"/>
      <w:marBottom w:val="0"/>
      <w:divBdr>
        <w:top w:val="none" w:sz="0" w:space="0" w:color="auto"/>
        <w:left w:val="none" w:sz="0" w:space="0" w:color="auto"/>
        <w:bottom w:val="none" w:sz="0" w:space="0" w:color="auto"/>
        <w:right w:val="none" w:sz="0" w:space="0" w:color="auto"/>
      </w:divBdr>
    </w:div>
    <w:div w:id="1798719716">
      <w:bodyDiv w:val="1"/>
      <w:marLeft w:val="0"/>
      <w:marRight w:val="0"/>
      <w:marTop w:val="0"/>
      <w:marBottom w:val="0"/>
      <w:divBdr>
        <w:top w:val="none" w:sz="0" w:space="0" w:color="auto"/>
        <w:left w:val="none" w:sz="0" w:space="0" w:color="auto"/>
        <w:bottom w:val="none" w:sz="0" w:space="0" w:color="auto"/>
        <w:right w:val="none" w:sz="0" w:space="0" w:color="auto"/>
      </w:divBdr>
    </w:div>
    <w:div w:id="1833372944">
      <w:bodyDiv w:val="1"/>
      <w:marLeft w:val="0"/>
      <w:marRight w:val="0"/>
      <w:marTop w:val="0"/>
      <w:marBottom w:val="0"/>
      <w:divBdr>
        <w:top w:val="none" w:sz="0" w:space="0" w:color="auto"/>
        <w:left w:val="none" w:sz="0" w:space="0" w:color="auto"/>
        <w:bottom w:val="none" w:sz="0" w:space="0" w:color="auto"/>
        <w:right w:val="none" w:sz="0" w:space="0" w:color="auto"/>
      </w:divBdr>
    </w:div>
    <w:div w:id="1843428150">
      <w:bodyDiv w:val="1"/>
      <w:marLeft w:val="0"/>
      <w:marRight w:val="0"/>
      <w:marTop w:val="0"/>
      <w:marBottom w:val="0"/>
      <w:divBdr>
        <w:top w:val="none" w:sz="0" w:space="0" w:color="auto"/>
        <w:left w:val="none" w:sz="0" w:space="0" w:color="auto"/>
        <w:bottom w:val="none" w:sz="0" w:space="0" w:color="auto"/>
        <w:right w:val="none" w:sz="0" w:space="0" w:color="auto"/>
      </w:divBdr>
    </w:div>
    <w:div w:id="1913079196">
      <w:bodyDiv w:val="1"/>
      <w:marLeft w:val="0"/>
      <w:marRight w:val="0"/>
      <w:marTop w:val="0"/>
      <w:marBottom w:val="0"/>
      <w:divBdr>
        <w:top w:val="none" w:sz="0" w:space="0" w:color="auto"/>
        <w:left w:val="none" w:sz="0" w:space="0" w:color="auto"/>
        <w:bottom w:val="none" w:sz="0" w:space="0" w:color="auto"/>
        <w:right w:val="none" w:sz="0" w:space="0" w:color="auto"/>
      </w:divBdr>
    </w:div>
    <w:div w:id="2017266915">
      <w:bodyDiv w:val="1"/>
      <w:marLeft w:val="0"/>
      <w:marRight w:val="0"/>
      <w:marTop w:val="0"/>
      <w:marBottom w:val="0"/>
      <w:divBdr>
        <w:top w:val="none" w:sz="0" w:space="0" w:color="auto"/>
        <w:left w:val="none" w:sz="0" w:space="0" w:color="auto"/>
        <w:bottom w:val="none" w:sz="0" w:space="0" w:color="auto"/>
        <w:right w:val="none" w:sz="0" w:space="0" w:color="auto"/>
      </w:divBdr>
    </w:div>
    <w:div w:id="2057579076">
      <w:bodyDiv w:val="1"/>
      <w:marLeft w:val="0"/>
      <w:marRight w:val="0"/>
      <w:marTop w:val="0"/>
      <w:marBottom w:val="0"/>
      <w:divBdr>
        <w:top w:val="none" w:sz="0" w:space="0" w:color="auto"/>
        <w:left w:val="none" w:sz="0" w:space="0" w:color="auto"/>
        <w:bottom w:val="none" w:sz="0" w:space="0" w:color="auto"/>
        <w:right w:val="none" w:sz="0" w:space="0" w:color="auto"/>
      </w:divBdr>
    </w:div>
    <w:div w:id="2096003260">
      <w:bodyDiv w:val="1"/>
      <w:marLeft w:val="0"/>
      <w:marRight w:val="0"/>
      <w:marTop w:val="0"/>
      <w:marBottom w:val="0"/>
      <w:divBdr>
        <w:top w:val="none" w:sz="0" w:space="0" w:color="auto"/>
        <w:left w:val="none" w:sz="0" w:space="0" w:color="auto"/>
        <w:bottom w:val="none" w:sz="0" w:space="0" w:color="auto"/>
        <w:right w:val="none" w:sz="0" w:space="0" w:color="auto"/>
      </w:divBdr>
    </w:div>
    <w:div w:id="21041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oleObject" Target="embeddings/oleObject27.bin"/><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oleObject" Target="embeddings/oleObject26.bin"/><Relationship Id="rId10" Type="http://schemas.openxmlformats.org/officeDocument/2006/relationships/hyperlink" Target="mailto:georgemanyali@gmail.com"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eorgeamolo862@gmai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sifunajames@gmail.com" TargetMode="Externa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image" Target="media/image26.wmf"/><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_rels/settings.xml.rels><?xml version="1.0" encoding="UTF-8" standalone="yes"?>
<Relationships xmlns="http://schemas.openxmlformats.org/package/2006/relationships"><Relationship Id="rId1" Type="http://schemas.openxmlformats.org/officeDocument/2006/relationships/attachedTemplate" Target="file:///U:\Projects\European%20Commission\eChallenges%20e2003-e2005%20%20IST-2001-37824\IPC%20e2003\Template%20&amp;%20Guidelines\eChalleng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Ohr01</b:Tag>
    <b:SourceType>Book</b:SourceType>
    <b:Guid>{C31F3B5C-B51E-4A76-B444-17EAE41E3875}</b:Guid>
    <b:Title>Materials science of thin films</b:Title>
    <b:Year>2001</b:Year>
    <b:Author>
      <b:Author>
        <b:NameList>
          <b:Person>
            <b:Last>Ohring</b:Last>
            <b:First>M</b:First>
          </b:Person>
        </b:NameList>
      </b:Author>
    </b:Author>
    <b:Publisher>Elsevier</b:Publisher>
    <b:RefOrder>1</b:RefOrder>
  </b:Source>
  <b:Source>
    <b:Tag>Gan92</b:Tag>
    <b:SourceType>Book</b:SourceType>
    <b:Guid>{A00ACCC5-4C9B-477D-92CC-8B41DB9B2423}</b:Guid>
    <b:Author>
      <b:Author>
        <b:Corporate>Gandhi, M. V., &amp; Thompson, B. D</b:Corporate>
      </b:Author>
    </b:Author>
    <b:Title>Smart materials and structures</b:Title>
    <b:Year>1992</b:Year>
    <b:Publisher>Springer Science &amp; Business Media</b:Publisher>
    <b:RefOrder>2</b:RefOrder>
  </b:Source>
  <b:Source>
    <b:Tag>Cal12</b:Tag>
    <b:SourceType>Book</b:SourceType>
    <b:Guid>{6A4608AB-5D82-436C-8F97-152C7B324CDC}</b:Guid>
    <b:Author>
      <b:Author>
        <b:Corporate>Callister Jr, W. D., &amp; Rethwisch, D. G</b:Corporate>
      </b:Author>
    </b:Author>
    <b:Title>Fundamentals of materials science and engineering: an integrated approach</b:Title>
    <b:Year>2012</b:Year>
    <b:Publisher>John Wiley &amp; Sons</b:Publisher>
    <b:RefOrder>3</b:RefOrder>
  </b:Source>
  <b:Source>
    <b:Tag>Koh96</b:Tag>
    <b:SourceType>JournalArticle</b:SourceType>
    <b:Guid>{FE4E1A85-85DD-47FC-BED3-69B14C4B79F1}</b:Guid>
    <b:Author>
      <b:Author>
        <b:Corporate>Kohn, W., Becke, A. D., &amp; Parr, R. G</b:Corporate>
      </b:Author>
    </b:Author>
    <b:Title>Density functional theory of electronic structure</b:Title>
    <b:JournalName>The Journal of Physical Chemistry</b:JournalName>
    <b:Year>1996</b:Year>
    <b:Pages>12974-12980</b:Pages>
    <b:Volume>100</b:Volume>
    <b:Issue>31</b:Issue>
    <b:RefOrder>4</b:RefOrder>
  </b:Source>
  <b:Source>
    <b:Tag>Joy00</b:Tag>
    <b:SourceType>JournalArticle</b:SourceType>
    <b:Guid>{0926218D-FD52-4D61-BF37-87B06B663747}</b:Guid>
    <b:Title>Why the future doesn’t need us</b:Title>
    <b:Year>2000</b:Year>
    <b:Author>
      <b:Author>
        <b:NameList>
          <b:Person>
            <b:Last>Joy</b:Last>
            <b:First>B</b:First>
          </b:Person>
        </b:NameList>
      </b:Author>
    </b:Author>
    <b:JournalName>Wired magazine</b:JournalName>
    <b:Pages>238-262</b:Pages>
    <b:Volume>8</b:Volume>
    <b:Issue>4</b:Issue>
    <b:RefOrder>5</b:RefOrder>
  </b:Source>
  <b:Source>
    <b:Tag>Sho01</b:Tag>
    <b:SourceType>Book</b:SourceType>
    <b:Guid>{5D1CC000-BB92-4650-94C8-F349BE1748FC}</b:Guid>
    <b:Author>
      <b:Author>
        <b:Corporate>Sholl, D., &amp; Steckel, J. A</b:Corporate>
      </b:Author>
    </b:Author>
    <b:Title>Density functional theory: a practical introduction</b:Title>
    <b:JournalName>John Wiley &amp; Sons</b:JournalName>
    <b:Year>2001</b:Year>
    <b:Publisher>John Wiley &amp; Sons</b:Publisher>
    <b:RefOrder>6</b:RefOrder>
  </b:Source>
  <b:Source>
    <b:Tag>Cas12</b:Tag>
    <b:SourceType>JournalArticle</b:SourceType>
    <b:Guid>{720B59FA-8F1A-4C15-9818-3565169B222C}</b:Guid>
    <b:Author>
      <b:Author>
        <b:Corporate>Casida, M. E., &amp; Huix-Rotllant, M</b:Corporate>
      </b:Author>
    </b:Author>
    <b:Title>Progress in time-dependent density-functional theory</b:Title>
    <b:Year>2012</b:Year>
    <b:JournalName>Annual Review of Physical Chemistry</b:JournalName>
    <b:Pages>287-323</b:Pages>
    <b:Volume>63</b:Volume>
    <b:RefOrder>7</b:RefOrder>
  </b:Source>
  <b:Source>
    <b:Tag>Hoh64</b:Tag>
    <b:SourceType>JournalArticle</b:SourceType>
    <b:Guid>{90CCFC45-D7F3-425C-A189-838F830A1BB4}</b:Guid>
    <b:Author>
      <b:Author>
        <b:Corporate>Hohenberg, P., &amp; Kohn, W</b:Corporate>
      </b:Author>
    </b:Author>
    <b:Title>Inhomogeneous electron gas</b:Title>
    <b:JournalName>Physical review</b:JournalName>
    <b:Year>1964</b:Year>
    <b:Pages>B864</b:Pages>
    <b:Volume>136</b:Volume>
    <b:Issue>3B</b:Issue>
    <b:RefOrder>8</b:RefOrder>
  </b:Source>
  <b:Source>
    <b:Tag>Koh99</b:Tag>
    <b:SourceType>JournalArticle</b:SourceType>
    <b:Guid>{77A87519-DFC4-49C4-A748-537172BC5984}</b:Guid>
    <b:Author>
      <b:Author>
        <b:NameList>
          <b:Person>
            <b:Last>Kohn</b:Last>
            <b:First>W</b:First>
          </b:Person>
        </b:NameList>
      </b:Author>
    </b:Author>
    <b:Title>Nobel Lecture: Electronic structure of matter—wave functions and density functionals</b:Title>
    <b:JournalName>Reviews of Modern Physics</b:JournalName>
    <b:Year>1999</b:Year>
    <b:Pages>1253</b:Pages>
    <b:Volume>71</b:Volume>
    <b:Issue>5</b:Issue>
    <b:RefOrder>9</b:RefOrder>
  </b:Source>
  <b:Source>
    <b:Tag>Wes93</b:Tag>
    <b:SourceType>JournalArticle</b:SourceType>
    <b:Guid>{56F26D20-3B3D-4EC7-81F3-EF338B7144BE}</b:Guid>
    <b:Author>
      <b:Author>
        <b:Corporate>Wesolowski, T. A., &amp; Warshel, A</b:Corporate>
      </b:Author>
    </b:Author>
    <b:Title>Frozen density functional approach for ab initio calculations of solvated molecules</b:Title>
    <b:JournalName>The Journal of Physical Chemistry</b:JournalName>
    <b:Year>1993</b:Year>
    <b:Pages>8050-8053</b:Pages>
    <b:Volume>97</b:Volume>
    <b:Issue>30</b:Issue>
    <b:RefOrder>10</b:RefOrder>
  </b:Source>
  <b:Source>
    <b:Tag>Koh651</b:Tag>
    <b:SourceType>JournalArticle</b:SourceType>
    <b:Guid>{38D7DE2A-06E0-47B0-8269-9BE7CFBC9681}</b:Guid>
    <b:Author>
      <b:Author>
        <b:Corporate>Kohn, W., &amp; Sham, L. J</b:Corporate>
      </b:Author>
    </b:Author>
    <b:Title>Self-consistent equations including exchange and correlation effects</b:Title>
    <b:JournalName>Physical review</b:JournalName>
    <b:Year>1965</b:Year>
    <b:Pages>A1133</b:Pages>
    <b:Volume>140</b:Volume>
    <b:Issue>4A</b:Issue>
    <b:RefOrder>11</b:RefOrder>
  </b:Source>
  <b:Source>
    <b:Tag>Nel66</b:Tag>
    <b:SourceType>JournalArticle</b:SourceType>
    <b:Guid>{3368ACAA-6F0D-497B-81D7-590984E54227}</b:Guid>
    <b:Author>
      <b:Author>
        <b:NameList>
          <b:Person>
            <b:Last>Nelson</b:Last>
            <b:First>E</b:First>
          </b:Person>
        </b:NameList>
      </b:Author>
    </b:Author>
    <b:Title>Derivation of the Schrödinger equation from Newtonian mechanics</b:Title>
    <b:JournalName>Physical review</b:JournalName>
    <b:Year>1966</b:Year>
    <b:Pages>1079</b:Pages>
    <b:Volume>150</b:Volume>
    <b:Issue>4</b:Issue>
    <b:RefOrder>12</b:RefOrder>
  </b:Source>
  <b:Source>
    <b:Tag>Sla51</b:Tag>
    <b:SourceType>JournalArticle</b:SourceType>
    <b:Guid>{3C514D72-1A98-4F89-AFB8-5FF65EC1EDA0}</b:Guid>
    <b:Author>
      <b:Author>
        <b:NameList>
          <b:Person>
            <b:Last>Slater</b:Last>
            <b:First>J.</b:First>
            <b:Middle>C</b:Middle>
          </b:Person>
        </b:NameList>
      </b:Author>
    </b:Author>
    <b:Title>A simplification of the Hartree-Fock method</b:Title>
    <b:JournalName>Physical review</b:JournalName>
    <b:Year>1951</b:Year>
    <b:Pages>385</b:Pages>
    <b:Volume>81</b:Volume>
    <b:Issue>3</b:Issue>
    <b:RefOrder>13</b:RefOrder>
  </b:Source>
  <b:Source>
    <b:Tag>Koe08</b:Tag>
    <b:SourceType>JournalArticle</b:SourceType>
    <b:Guid>{F05142FC-ECBD-4398-8AE4-2CBE8077968B}</b:Guid>
    <b:Author>
      <b:Author>
        <b:Corporate>Koentopp, M., Chang, C., Burke, K., &amp; Car, R</b:Corporate>
      </b:Author>
    </b:Author>
    <b:Title>Density functional calculations of nanoscale conductance</b:Title>
    <b:JournalName>Journal of Physics: Condensed Matter</b:JournalName>
    <b:Year>2008</b:Year>
    <b:Pages>083203</b:Pages>
    <b:Volume>20</b:Volume>
    <b:Issue>8</b:Issue>
    <b:RefOrder>14</b:RefOrder>
  </b:Source>
  <b:Source>
    <b:Tag>PGi09</b:Tag>
    <b:SourceType>JournalArticle</b:SourceType>
    <b:Guid>{2A98F676-FBE6-4192-9F96-345CEAB7680A}</b:Guid>
    <b:Author>
      <b:Author>
        <b:Corporate>P. Giannozzi, S. Baroni, N. Bonini, M. Calandra, R. Car, C. Cavazzoni, D. Ceresoli, G. L. Chiarotti, M. Cococcioni, I. Dabo, A. Dal Corso, S. Fabris, G. Fratesi, S. de Gironcoli, R. Gebauer, U. Gerstmann, C. Gougoussis, A. Kokalj, M. Lazzeri</b:Corporate>
      </b:Author>
    </b:Author>
    <b:Title>QUANTUM ESPRESSO: a modular and open-source software project for quantum simulations of materials</b:Title>
    <b:JournalName>Journal of Physics: Condensed Matter</b:JournalName>
    <b:Year>2009</b:Year>
    <b:Pages>395502</b:Pages>
    <b:Volume>21</b:Volume>
    <b:RefOrder>15</b:RefOrder>
  </b:Source>
  <b:Source>
    <b:Tag>Van07</b:Tag>
    <b:SourceType>ConferenceProceedings</b:SourceType>
    <b:Guid>{542F00A2-30AF-41CB-ACE1-835288E71855}</b:Guid>
    <b:Author>
      <b:Author>
        <b:NameList>
          <b:Person>
            <b:Last>Van Rossum</b:Last>
            <b:First>G</b:First>
          </b:Person>
        </b:NameList>
      </b:Author>
    </b:Author>
    <b:Title>Python Programming Language</b:Title>
    <b:Year>2007</b:Year>
    <b:Pages>36</b:Pages>
    <b:ConferenceName>In USENIX Annual Technical Conference</b:ConferenceName>
    <b:RefOrder>16</b:RefOrder>
  </b:Source>
  <b:Source>
    <b:Tag>Sob05</b:Tag>
    <b:SourceType>Book</b:SourceType>
    <b:Guid>{5D212DD8-F9F6-4C0D-99CB-62ABDB580A6E}</b:Guid>
    <b:Author>
      <b:Author>
        <b:Corporate>Sobell, M. G., &amp; Helmke, M</b:Corporate>
      </b:Author>
    </b:Author>
    <b:Title>A practical guide to Linux commands, editors, and shell programming</b:Title>
    <b:Year>2005</b:Year>
    <b:Publisher>Prentice Hall Professional Technical Reference.</b:Publisher>
    <b:JournalName>Prentice Hall Professional Technical Reference</b:JournalName>
    <b:RefOrder>17</b:RefOrder>
  </b:Source>
  <b:Source>
    <b:Tag>Per96</b:Tag>
    <b:SourceType>JournalArticle</b:SourceType>
    <b:Guid>{AFB3F0FF-86CB-4C17-8AF9-A6807357AB54}</b:Guid>
    <b:Author>
      <b:Author>
        <b:Corporate>Perdew, J. P., Burke, K., &amp; Ernzerhof, M</b:Corporate>
      </b:Author>
    </b:Author>
    <b:Title>Generalized gradient approximation made simple</b:Title>
    <b:JournalName>Physical review letters</b:JournalName>
    <b:Year>1996</b:Year>
    <b:Pages>3865.</b:Pages>
    <b:Volume>77</b:Volume>
    <b:Issue>18</b:Issue>
    <b:RefOrder>18</b:RefOrder>
  </b:Source>
  <b:Source>
    <b:Tag>Per92</b:Tag>
    <b:SourceType>JournalArticle</b:SourceType>
    <b:Guid>{A288FB4E-3E01-42CE-BA3D-156D306FE2B6}</b:Guid>
    <b:Author>
      <b:Author>
        <b:Corporate>Perdew, J. P., Chevary, J. A., Vosko, S. H., Jackson, K. A., Pederson, M. R., Singh, D. J., &amp; Fiolhais, C.</b:Corporate>
      </b:Author>
    </b:Author>
    <b:Title>Atoms, molecules, solids, and surfaces: Applications of the generalized gradient approximation for exchange and correlation</b:Title>
    <b:Year>1992</b:Year>
    <b:Publisher>Physical Review B</b:Publisher>
    <b:JournalName>Physical Review B</b:JournalName>
    <b:Pages>6671</b:Pages>
    <b:Volume>46</b:Volume>
    <b:Issue>11</b:Issue>
    <b:RefOrder>19</b:RefOrder>
  </b:Source>
  <b:Source>
    <b:Tag>WuZ06</b:Tag>
    <b:SourceType>JournalArticle</b:SourceType>
    <b:Guid>{3A778167-3A6E-4A2D-AC9C-1AB8EDA4C07D}</b:Guid>
    <b:Author>
      <b:Author>
        <b:Corporate>Wu, Z., &amp; Cohen, R. E</b:Corporate>
      </b:Author>
    </b:Author>
    <b:Title>More accurate generalized gradient approximation for solids</b:Title>
    <b:JournalName>Physical Review B</b:JournalName>
    <b:Year>2006</b:Year>
    <b:Pages>235116</b:Pages>
    <b:Volume>73</b:Volume>
    <b:Issue>23</b:Issue>
    <b:RefOrder>20</b:RefOrder>
  </b:Source>
  <b:Source>
    <b:Tag>Per81</b:Tag>
    <b:SourceType>JournalArticle</b:SourceType>
    <b:Guid>{9084B12C-C990-4714-89EB-897E9401F58E}</b:Guid>
    <b:Author>
      <b:Author>
        <b:Corporate>Perdew, J. P., &amp; Zunger, A</b:Corporate>
      </b:Author>
    </b:Author>
    <b:Title>Self-interaction correction to density-functional approximations for many-electron systems</b:Title>
    <b:JournalName>Physical Review B</b:JournalName>
    <b:Year>1981</b:Year>
    <b:Pages>5048</b:Pages>
    <b:Volume>23</b:Volume>
    <b:Issue>10</b:Issue>
    <b:RefOrder>21</b:RefOrder>
  </b:Source>
  <b:Source>
    <b:Tag>Per08</b:Tag>
    <b:SourceType>JournalArticle</b:SourceType>
    <b:Guid>{D167F63B-6DC0-4744-9BFD-EB1E69FDBAF3}</b:Guid>
    <b:Author>
      <b:Author>
        <b:Corporate>Perdew, J. P., Ruzsinszky, A., Csonka, G. I., Vydrov, O. A., Scuseria, G. E., Constantin, L. A., ... &amp; Burke, K</b:Corporate>
      </b:Author>
    </b:Author>
    <b:Title>Restoring the density-gradient expansion for exchange in solids and surfaces</b:Title>
    <b:JournalName>Physical Review Letters</b:JournalName>
    <b:Year>2008</b:Year>
    <b:Pages>136406</b:Pages>
    <b:Volume>100</b:Volume>
    <b:Issue>13</b:Issue>
    <b:RefOrder>22</b:RefOrder>
  </b:Source>
  <b:Source>
    <b:Tag>Dal14</b:Tag>
    <b:SourceType>JournalArticle</b:SourceType>
    <b:Guid>{655F90ED-1553-4AD9-A043-BD8DB6E93485}</b:Guid>
    <b:Author>
      <b:Author>
        <b:NameList>
          <b:Person>
            <b:Last>Dal Corso</b:Last>
            <b:First>A.</b:First>
          </b:Person>
        </b:NameList>
      </b:Author>
    </b:Author>
    <b:Title>Pseudopotentials periodic table: From H to Pu</b:Title>
    <b:JournalName>Computational Materials Science</b:JournalName>
    <b:Year>2014</b:Year>
    <b:Pages>337-350</b:Pages>
    <b:Volume>95</b:Volume>
    <b:RefOrder>23</b:RefOrder>
  </b:Source>
  <b:Source>
    <b:Tag>Mon05</b:Tag>
    <b:SourceType>JournalArticle</b:SourceType>
    <b:Guid>{BFA6F294-D4D2-4056-B85A-CB07DCFB7B29}</b:Guid>
    <b:Author>
      <b:Author>
        <b:Corporate>Monkhorst, H. J., &amp; Pack, J. P.</b:Corporate>
      </b:Author>
    </b:Author>
    <b:Title>Special points for Brillouin-zone integrations.</b:Title>
    <b:JournalName>Applied Physics</b:JournalName>
    <b:Year>2005</b:Year>
    <b:Pages>5188-5193</b:Pages>
    <b:Volume>2</b:Volume>
    <b:Issue>1</b:Issue>
    <b:RefOrder>24</b:RefOrder>
  </b:Source>
  <b:Source>
    <b:Tag>Mur44</b:Tag>
    <b:SourceType>JournalArticle</b:SourceType>
    <b:Guid>{7132C6C3-F115-4D16-991C-760C6CEFBF8E}</b:Guid>
    <b:Author>
      <b:Author>
        <b:NameList>
          <b:Person>
            <b:Last>Murnaghan</b:Last>
            <b:First>F.</b:First>
            <b:Middle>D.</b:Middle>
          </b:Person>
        </b:NameList>
      </b:Author>
    </b:Author>
    <b:Title>The compressibility of media under extreme pressures </b:Title>
    <b:JournalName> Pro-ceedings of the National Academy of Sciences</b:JournalName>
    <b:Year>1944</b:Year>
    <b:Pages>244-247</b:Pages>
    <b:Volume>30</b:Volume>
    <b:Issue>9</b:Issue>
    <b:RefOrder>25</b:RefOrder>
  </b:Source>
  <b:Source>
    <b:Tag>Jai13</b:Tag>
    <b:SourceType>JournalArticle</b:SourceType>
    <b:Guid>{E23D6B05-3776-4BD2-85A3-C33DF399B9AA}</b:Guid>
    <b:Author>
      <b:Author>
        <b:Corporate>Jain, A., Ong, S. P., Hautier, G., Chen, W., Richards, W. D., Dacek, S., ... &amp; Persson, K. A</b:Corporate>
      </b:Author>
    </b:Author>
    <b:Title>Commentary: The Materials Project: A materials genome approach to accelerating materials innovation</b:Title>
    <b:JournalName>Apl Materials</b:JournalName>
    <b:Year>2013</b:Year>
    <b:Pages>011002</b:Pages>
    <b:Volume>1</b:Volume>
    <b:Issue>1</b:Issue>
    <b:RefOrder>26</b:RefOrder>
  </b:Source>
  <b:Source>
    <b:Tag>Cod14</b:Tag>
    <b:SourceType>JournalArticle</b:SourceType>
    <b:Guid>{EF4A7A79-4C9E-4F58-B27F-19E110B71789}</b:Guid>
    <b:Author>
      <b:Author>
        <b:Corporate>Cody R. Morelock, Leighanne C. Gallington and Angus P. Wilkinson</b:Corporate>
      </b:Author>
    </b:Author>
    <b:Title>Evolution of  Negative Thermal Expansion and Phase Transitions in Sc1-xTixF3</b:Title>
    <b:JournalName>American Chemical Society</b:JournalName>
    <b:Year>2014</b:Year>
    <b:Pages>1936-1973</b:Pages>
    <b:Volume>4</b:Volume>
    <b:Issue>2</b:Issue>
    <b:RefOrder>27</b:RefOrder>
  </b:Source>
  <b:Source>
    <b:Tag>Zhg12</b:Tag>
    <b:SourceType>JournalArticle</b:SourceType>
    <b:Guid>{68E56DA4-4133-43E3-8A55-F86CAFEF1A05}</b:Guid>
    <b:Author>
      <b:Author>
        <b:Corporate>Zhgun, P., Bocharov, D., Piskunov, S., Kuzmin, A., &amp; Purans, J.</b:Corporate>
      </b:Author>
    </b:Author>
    <b:Title>Electronic structure of cubic ScF3 from first-principles calculations</b:Title>
    <b:JournalName>arXiv preprint arXiv</b:JournalName>
    <b:Year>2012</b:Year>
    <b:Pages>5697</b:Pages>
    <b:Volume>1211</b:Volume>
    <b:RefOrder>28</b:RefOrder>
  </b:Source>
  <b:Source>
    <b:Tag>WuZ04</b:Tag>
    <b:SourceType>JournalArticle</b:SourceType>
    <b:Guid>{5A96A8AF-A78F-48A7-85DD-43B5E157F6EB}</b:Guid>
    <b:Author>
      <b:Author>
        <b:Corporate>Wu, Z., Cohen, R. E., &amp; Singh, D. J</b:Corporate>
      </b:Author>
    </b:Author>
    <b:Title>Comparing the weighted density approximation with the LDA and GGA for ground-state properties of ferroelectric perovskites</b:Title>
    <b:JournalName>Physical Review B</b:JournalName>
    <b:Year>2004</b:Year>
    <b:Pages>104112</b:Pages>
    <b:Volume>70</b:Volume>
    <b:Issue>10</b:Issue>
    <b:RefOrder>29</b:RefOrder>
  </b:Source>
</b:Sources>
</file>

<file path=customXml/itemProps1.xml><?xml version="1.0" encoding="utf-8"?>
<ds:datastoreItem xmlns:ds="http://schemas.openxmlformats.org/officeDocument/2006/customXml" ds:itemID="{4C92A508-1FDF-444F-9B91-EFB1BA94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eChallenges Template</Template>
  <TotalTime>372</TotalTime>
  <Pages>7</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IST-Africa Template</vt:lpstr>
    </vt:vector>
  </TitlesOfParts>
  <Company>IIMC</Company>
  <LinksUpToDate>false</LinksUpToDate>
  <CharactersWithSpaces>23467</CharactersWithSpaces>
  <SharedDoc>false</SharedDoc>
  <HLinks>
    <vt:vector size="18" baseType="variant">
      <vt:variant>
        <vt:i4>6422601</vt:i4>
      </vt:variant>
      <vt:variant>
        <vt:i4>6</vt:i4>
      </vt:variant>
      <vt:variant>
        <vt:i4>0</vt:i4>
      </vt:variant>
      <vt:variant>
        <vt:i4>5</vt:i4>
      </vt:variant>
      <vt:variant>
        <vt:lpwstr>mailto:georgemanyali@gmail.com</vt:lpwstr>
      </vt:variant>
      <vt:variant>
        <vt:lpwstr/>
      </vt:variant>
      <vt:variant>
        <vt:i4>6225978</vt:i4>
      </vt:variant>
      <vt:variant>
        <vt:i4>3</vt:i4>
      </vt:variant>
      <vt:variant>
        <vt:i4>0</vt:i4>
      </vt:variant>
      <vt:variant>
        <vt:i4>5</vt:i4>
      </vt:variant>
      <vt:variant>
        <vt:lpwstr>mailto:georgeamolo862@gmail.com</vt:lpwstr>
      </vt:variant>
      <vt:variant>
        <vt:lpwstr/>
      </vt:variant>
      <vt:variant>
        <vt:i4>589878</vt:i4>
      </vt:variant>
      <vt:variant>
        <vt:i4>0</vt:i4>
      </vt:variant>
      <vt:variant>
        <vt:i4>0</vt:i4>
      </vt:variant>
      <vt:variant>
        <vt:i4>5</vt:i4>
      </vt:variant>
      <vt:variant>
        <vt:lpwstr>mailto:sifunajames@gmail.com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IST-Africa Template</dc:title>
  <dc:creator>Miriam Cunningham</dc:creator>
  <cp:lastModifiedBy>JAIME-LAB</cp:lastModifiedBy>
  <cp:revision>102</cp:revision>
  <cp:lastPrinted>2018-07-29T11:11:00Z</cp:lastPrinted>
  <dcterms:created xsi:type="dcterms:W3CDTF">2018-08-14T13:49:00Z</dcterms:created>
  <dcterms:modified xsi:type="dcterms:W3CDTF">2018-08-31T09:45:00Z</dcterms:modified>
</cp:coreProperties>
</file>